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6.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Override PartName="/word/header4.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9.xml" ContentType="application/vnd.openxmlformats-officedocument.wordprocessingml.header+xml"/>
  <Override PartName="/word/footer7.xml" ContentType="application/vnd.openxmlformats-officedocument.wordprocessingml.footer+xml"/>
  <Override PartName="/word/_rels/document.xml.rels" ContentType="application/vnd.openxmlformats-package.relationships+xml"/>
  <Override PartName="/word/footer6.xml" ContentType="application/vnd.openxmlformats-officedocument.wordprocessingml.footer+xml"/>
  <Override PartName="/word/styles.xml" ContentType="application/vnd.openxmlformats-officedocument.wordprocessingml.styles+xml"/>
  <Override PartName="/word/header8.xml" ContentType="application/vnd.openxmlformats-officedocument.wordprocessingml.header+xml"/>
  <Override PartName="/word/theme/theme1.xml" ContentType="application/vnd.openxmlformats-officedocument.theme+xml"/>
  <Override PartName="/word/header10.xml" ContentType="application/vnd.openxmlformats-officedocument.wordprocessingml.header+xml"/>
  <Override PartName="/word/header7.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r>
        <w:rPr>
          <w:b/>
          <w:bCs/>
          <w:sz w:val="24"/>
          <w:szCs w:val="24"/>
        </w:rPr>
        <w:t>Договор поставки</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Чайковский</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«Покупатель»), в лице директора филиала ПАО «РусГидро» - «Воткинская ГЭС» Бякова Алексея Георгиевича</w:t>
      </w:r>
      <w:r>
        <w:rPr>
          <w:spacing w:val="4"/>
          <w:sz w:val="24"/>
          <w:szCs w:val="24"/>
        </w:rPr>
        <w:t>, действующего на основании доверенности № 9458 от 25.12.2024г.(МЧД 448dddfb-cef0-439a-a92c-a8528d058924 от 15.01.2025г.), с одной стороны, и</w:t>
      </w:r>
      <w:r>
        <w:rPr>
          <w:spacing w:val="10"/>
          <w:sz w:val="24"/>
          <w:szCs w:val="24"/>
        </w:rPr>
        <w:t>_____________</w:t>
      </w:r>
      <w:r>
        <w:rPr>
          <w:bCs/>
          <w:sz w:val="24"/>
          <w:szCs w:val="24"/>
        </w:rPr>
        <w:t xml:space="preserve"> </w:t>
      </w:r>
      <w:r>
        <w:rPr>
          <w:sz w:val="24"/>
          <w:szCs w:val="24"/>
        </w:rPr>
        <w:t xml:space="preserve">(далее – «Поставщик»), в лице __________, действующего на основании _________, с другой стороны, </w:t>
      </w:r>
    </w:p>
    <w:p>
      <w:pPr>
        <w:pStyle w:val="Normal"/>
        <w:ind w:firstLine="709"/>
        <w:jc w:val="both"/>
        <w:rPr>
          <w:spacing w:val="10"/>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проведенного Покупателем состязательного отбора по лоту № 30-ЭКСП-БПД</w:t>
      </w:r>
      <w:r>
        <w:rPr>
          <w:bCs/>
          <w:sz w:val="26"/>
          <w:szCs w:val="26"/>
        </w:rPr>
        <w:t>-2026-ВотГЭС,</w:t>
      </w:r>
      <w:r>
        <w:rPr>
          <w:sz w:val="24"/>
          <w:szCs w:val="24"/>
          <w:lang w:eastAsia="en-US"/>
        </w:rPr>
        <w:t xml:space="preserve">  на основании протокола закупочной комиссии от «__» ______ 2026г. № _____ </w:t>
      </w:r>
      <w:r>
        <w:rPr>
          <w:sz w:val="24"/>
          <w:szCs w:val="24"/>
        </w:rPr>
        <w:t>заключили настоящий договор поставки (далее – «Договор») о нижеследующем:</w:t>
      </w:r>
    </w:p>
    <w:p>
      <w:pPr>
        <w:pStyle w:val="Normal"/>
        <w:rPr>
          <w:bCs/>
          <w:sz w:val="24"/>
          <w:szCs w:val="24"/>
        </w:rPr>
      </w:pPr>
      <w:r>
        <w:rPr>
          <w:bCs/>
          <w:sz w:val="24"/>
          <w:szCs w:val="24"/>
        </w:rPr>
      </w:r>
    </w:p>
    <w:p>
      <w:pPr>
        <w:pStyle w:val="Normal"/>
        <w:jc w:val="center"/>
        <w:rPr>
          <w:b/>
          <w:bCs/>
          <w:sz w:val="24"/>
          <w:szCs w:val="24"/>
        </w:rPr>
      </w:pPr>
      <w:r>
        <w:rPr>
          <w:b/>
          <w:bCs/>
          <w:sz w:val="24"/>
          <w:szCs w:val="24"/>
        </w:rPr>
        <w:t>Термины и определения</w:t>
      </w:r>
    </w:p>
    <w:p>
      <w:pPr>
        <w:pStyle w:val="Normal"/>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tabs>
          <w:tab w:val="clear" w:pos="708"/>
          <w:tab w:val="left" w:pos="0" w:leader="none"/>
        </w:tabs>
        <w:ind w:left="0" w:firstLine="709"/>
        <w:jc w:val="both"/>
        <w:textAlignment w:val="baseline"/>
        <w:rPr>
          <w:b/>
          <w:sz w:val="24"/>
          <w:szCs w:val="24"/>
          <w:lang w:eastAsia="en-US"/>
        </w:rPr>
      </w:pPr>
      <w:r>
        <w:rPr>
          <w:b/>
          <w:sz w:val="24"/>
          <w:szCs w:val="24"/>
          <w:lang w:eastAsia="en-US"/>
        </w:rPr>
        <w:t xml:space="preserve">«УПД» </w:t>
      </w:r>
      <w:r>
        <w:rPr>
          <w:sz w:val="24"/>
          <w:szCs w:val="24"/>
          <w:lang w:eastAsia="en-US"/>
        </w:rPr>
        <w:t>–</w:t>
      </w:r>
      <w:r>
        <w:rPr>
          <w:b/>
          <w:sz w:val="24"/>
          <w:szCs w:val="24"/>
          <w:lang w:eastAsia="en-US"/>
        </w:rPr>
        <w:t xml:space="preserve"> </w:t>
      </w:r>
      <w:r>
        <w:rPr>
          <w:sz w:val="24"/>
          <w:szCs w:val="24"/>
          <w:lang w:eastAsia="en-US"/>
        </w:rPr>
        <w:t>универсальный передаточный документ, оформляемый по унифицированной форме, утвержденной письмом Федеральной налоговой службы от 21 октября 2013 года № ММВ-20-3/96, подписываемый Сторонами после завершения приемки Товара по количеству, качеству и комплектности.</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«Партия Товара»</w:t>
      </w:r>
      <w:r>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 xml:space="preserve"> </w:t>
      </w: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ind w:firstLine="709"/>
        <w:jc w:val="center"/>
        <w:rPr>
          <w:bCs/>
          <w:sz w:val="24"/>
          <w:szCs w:val="24"/>
        </w:rPr>
      </w:pPr>
      <w:r>
        <w:rPr>
          <w:bCs/>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tabs>
          <w:tab w:val="clear" w:pos="708"/>
          <w:tab w:val="left" w:pos="993" w:leader="none"/>
        </w:tabs>
        <w:ind w:left="0" w:firstLine="630"/>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Calibri"/>
          <w:b/>
          <w:bCs/>
          <w:color w:val="000000" w:themeColor="text1"/>
          <w:sz w:val="24"/>
          <w:szCs w:val="24"/>
          <w:lang w:eastAsia="en-US"/>
        </w:rPr>
        <w:t>ОКПД2 19.20.29.160 Горюче-смазочные материалы для нужд филиала ПАО "РусГидро"-"Воткинская ГЭС</w:t>
      </w:r>
      <w:r>
        <w:rPr>
          <w:rFonts w:eastAsia="Calibri"/>
          <w:b/>
          <w:bCs/>
          <w:i/>
          <w:sz w:val="24"/>
          <w:szCs w:val="24"/>
          <w:lang w:eastAsia="en-US"/>
        </w:rPr>
        <w:t xml:space="preserve">" </w:t>
      </w:r>
      <w:r>
        <w:rPr>
          <w:bCs/>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Normal"/>
        <w:numPr>
          <w:ilvl w:val="1"/>
          <w:numId w:val="2"/>
        </w:numPr>
        <w:tabs>
          <w:tab w:val="clear" w:pos="708"/>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«РусГидро»-«Воткинская ГЭС».</w:t>
      </w:r>
    </w:p>
    <w:p>
      <w:pPr>
        <w:pStyle w:val="Normal"/>
        <w:numPr>
          <w:ilvl w:val="1"/>
          <w:numId w:val="2"/>
        </w:numPr>
        <w:tabs>
          <w:tab w:val="clear" w:pos="708"/>
          <w:tab w:val="left" w:pos="0" w:leader="none"/>
          <w:tab w:val="left" w:pos="1134" w:leader="none"/>
        </w:tabs>
        <w:ind w:left="0" w:firstLine="709"/>
        <w:jc w:val="both"/>
        <w:rPr>
          <w:bCs/>
          <w:sz w:val="24"/>
          <w:szCs w:val="24"/>
        </w:rPr>
      </w:pPr>
      <w:r>
        <w:rPr>
          <w:bCs/>
          <w:sz w:val="24"/>
          <w:szCs w:val="24"/>
        </w:rPr>
        <w:t xml:space="preserve">Место поставки Товара: </w:t>
      </w:r>
      <w:r>
        <w:rPr>
          <w:sz w:val="24"/>
          <w:szCs w:val="24"/>
        </w:rPr>
        <w:t>617760, Пермский край, г.о. Чайковский, г. Чайковский, тер. Воткинской ГЭС, д.1/2, филиал ПАО «РусГидро»-«Воткинская ГЭС» (далее – «Место поставки»).</w:t>
      </w:r>
    </w:p>
    <w:p>
      <w:pPr>
        <w:pStyle w:val="Normal"/>
        <w:numPr>
          <w:ilvl w:val="1"/>
          <w:numId w:val="2"/>
        </w:numPr>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tabs>
          <w:tab w:val="clear" w:pos="708"/>
          <w:tab w:val="left" w:pos="0" w:leader="none"/>
          <w:tab w:val="left" w:pos="1134" w:leader="none"/>
          <w:tab w:val="left" w:pos="1418" w:leader="none"/>
        </w:tabs>
        <w:ind w:left="0" w:firstLine="709"/>
        <w:jc w:val="both"/>
        <w:rPr>
          <w:bCs/>
          <w:sz w:val="24"/>
          <w:szCs w:val="24"/>
        </w:rPr>
      </w:pPr>
      <w:r>
        <w:rPr>
          <w:bCs/>
          <w:sz w:val="24"/>
          <w:szCs w:val="24"/>
        </w:rPr>
        <w:t>Начало – со дня, следующего за днем заключения Договора.</w:t>
      </w:r>
    </w:p>
    <w:p>
      <w:pPr>
        <w:pStyle w:val="Normal"/>
        <w:numPr>
          <w:ilvl w:val="2"/>
          <w:numId w:val="2"/>
        </w:numPr>
        <w:tabs>
          <w:tab w:val="clear" w:pos="708"/>
          <w:tab w:val="left" w:pos="0" w:leader="none"/>
          <w:tab w:val="left" w:pos="1134" w:leader="none"/>
          <w:tab w:val="left" w:pos="1418" w:leader="none"/>
        </w:tabs>
        <w:ind w:left="0" w:firstLine="709"/>
        <w:jc w:val="both"/>
        <w:rPr>
          <w:bCs/>
          <w:sz w:val="24"/>
          <w:szCs w:val="24"/>
        </w:rPr>
      </w:pPr>
      <w:r>
        <w:rPr>
          <w:bCs/>
          <w:sz w:val="24"/>
          <w:szCs w:val="24"/>
        </w:rPr>
        <w:t>Окончание – в течении 61 календарного дня, со дня, следующего за днем заключения Договора</w:t>
      </w:r>
      <w:bookmarkStart w:id="0" w:name="_GoBack"/>
      <w:bookmarkEnd w:id="0"/>
      <w:r>
        <w:rPr>
          <w:bCs/>
          <w:sz w:val="24"/>
          <w:szCs w:val="24"/>
        </w:rPr>
        <w:t>.</w:t>
      </w:r>
    </w:p>
    <w:p>
      <w:pPr>
        <w:pStyle w:val="ListParagraph"/>
        <w:numPr>
          <w:ilvl w:val="1"/>
          <w:numId w:val="2"/>
        </w:numPr>
        <w:tabs>
          <w:tab w:val="clear" w:pos="708"/>
          <w:tab w:val="left" w:pos="993" w:leader="none"/>
        </w:tabs>
        <w:ind w:left="0" w:firstLine="720"/>
        <w:rPr>
          <w:bCs/>
          <w:sz w:val="24"/>
          <w:szCs w:val="24"/>
        </w:rPr>
      </w:pPr>
      <w:r>
        <w:rPr>
          <w:bCs/>
          <w:sz w:val="24"/>
          <w:szCs w:val="24"/>
        </w:rPr>
        <w:t>Сроки поставки Товара (партий Товара) указаны в Календарном графике поставки Товара (Приложение №4 к Договору) в рамках общих сроков, указанных в пункте 1.4 Договора.</w:t>
      </w:r>
    </w:p>
    <w:p>
      <w:pPr>
        <w:pStyle w:val="ListParagraph"/>
        <w:tabs>
          <w:tab w:val="clear" w:pos="708"/>
          <w:tab w:val="left" w:pos="0" w:leader="none"/>
          <w:tab w:val="left" w:pos="1134" w:leader="none"/>
          <w:tab w:val="left" w:pos="1170" w:leader="none"/>
        </w:tabs>
        <w:jc w:val="both"/>
        <w:rPr>
          <w:bCs/>
          <w:sz w:val="24"/>
          <w:szCs w:val="24"/>
        </w:rPr>
      </w:pPr>
      <w:r>
        <w:rPr>
          <w:bCs/>
          <w:sz w:val="24"/>
          <w:szCs w:val="24"/>
        </w:rPr>
      </w:r>
    </w:p>
    <w:p>
      <w:pPr>
        <w:pStyle w:val="Normal"/>
        <w:tabs>
          <w:tab w:val="clear" w:pos="708"/>
          <w:tab w:val="left" w:pos="1134" w:leader="none"/>
          <w:tab w:val="left" w:pos="1851" w:leader="none"/>
        </w:tabs>
        <w:ind w:left="709" w:hanging="0"/>
        <w:jc w:val="both"/>
        <w:rPr>
          <w:bCs/>
          <w:sz w:val="24"/>
          <w:szCs w:val="24"/>
        </w:rPr>
      </w:pPr>
      <w:r>
        <w:rPr>
          <w:bCs/>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составляет </w:t>
      </w:r>
      <w:r>
        <w:rPr>
          <w:b/>
          <w:bCs/>
          <w:sz w:val="24"/>
          <w:szCs w:val="24"/>
        </w:rPr>
        <w:t>_______ (________) рубля ___ копеек</w:t>
      </w:r>
      <w:r>
        <w:rPr>
          <w:bCs/>
          <w:sz w:val="24"/>
          <w:szCs w:val="24"/>
        </w:rPr>
        <w:t xml:space="preserve">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tabs>
          <w:tab w:val="clear" w:pos="708"/>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tabs>
          <w:tab w:val="clear" w:pos="708"/>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2"/>
        </w:numPr>
        <w:tabs>
          <w:tab w:val="clear" w:pos="708"/>
          <w:tab w:val="left" w:pos="1418" w:leader="none"/>
        </w:tabs>
        <w:ind w:left="90" w:firstLine="630"/>
        <w:jc w:val="both"/>
        <w:rPr>
          <w:bCs/>
          <w:sz w:val="24"/>
          <w:szCs w:val="24"/>
        </w:rPr>
      </w:pPr>
      <w:r>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pPr>
        <w:pStyle w:val="Normal"/>
        <w:numPr>
          <w:ilvl w:val="2"/>
          <w:numId w:val="2"/>
        </w:numPr>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tabs>
          <w:tab w:val="clear" w:pos="708"/>
          <w:tab w:val="left" w:pos="0" w:leader="none"/>
          <w:tab w:val="left" w:pos="1418" w:leader="none"/>
        </w:tabs>
        <w:ind w:left="0" w:firstLine="709"/>
        <w:jc w:val="both"/>
        <w:rPr>
          <w:sz w:val="24"/>
          <w:szCs w:val="24"/>
        </w:rPr>
      </w:pPr>
      <w:r>
        <w:rPr>
          <w:sz w:val="24"/>
          <w:szCs w:val="24"/>
        </w:rPr>
        <w:t>Авансовые платежи за каждую партию Товара в размере 30 (тридцати) процентов от стоимости соответствующей партии Товара без учета НДС, кроме того НДС по ставке, установленной статьей 164 НК РФ на дату выплаты авансового платежа,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партии Товара, и с учетом пункта 2.4.3 Договора.</w:t>
      </w:r>
    </w:p>
    <w:p>
      <w:pPr>
        <w:pStyle w:val="ListParagraph"/>
        <w:widowControl/>
        <w:numPr>
          <w:ilvl w:val="2"/>
          <w:numId w:val="2"/>
        </w:numPr>
        <w:tabs>
          <w:tab w:val="clear" w:pos="708"/>
          <w:tab w:val="left" w:pos="0" w:leader="none"/>
          <w:tab w:val="left" w:pos="1418" w:leader="none"/>
        </w:tabs>
        <w:ind w:left="0" w:firstLine="709"/>
        <w:jc w:val="both"/>
        <w:rPr>
          <w:sz w:val="24"/>
          <w:szCs w:val="24"/>
        </w:rPr>
      </w:pPr>
      <w:r>
        <w:rPr>
          <w:sz w:val="24"/>
          <w:szCs w:val="24"/>
        </w:rPr>
        <w:t xml:space="preserve">Последующие платежи в размере разницы между стоимостью партии Товара без учета НДС, кроме того НДС по ставке, установленной статьей 164 НК РФ на дату подписания Сторонами УПД и суммой ранее уплаченного авансового платежа, выплачиваются Поставщику в течение </w:t>
      </w:r>
      <w:r>
        <w:rPr>
          <w:sz w:val="24"/>
          <w:szCs w:val="24"/>
          <w:highlight w:val="lightGray"/>
        </w:rPr>
        <w:t>20 (двадцати) календарных дней/ 7 (семи) рабочих дней</w:t>
      </w:r>
      <w:r>
        <w:rPr>
          <w:rStyle w:val="FootnoteReference"/>
          <w:sz w:val="24"/>
          <w:szCs w:val="24"/>
          <w:highlight w:val="lightGray"/>
          <w:vertAlign w:val="superscript"/>
        </w:rPr>
        <w:footnoteReference w:id="2"/>
      </w:r>
      <w:r>
        <w:rPr>
          <w:sz w:val="24"/>
          <w:szCs w:val="24"/>
          <w:highlight w:val="lightGray"/>
        </w:rPr>
        <w:t>,</w:t>
      </w:r>
      <w:r>
        <w:rPr>
          <w:sz w:val="24"/>
          <w:szCs w:val="24"/>
        </w:rPr>
        <w:t xml:space="preserve"> с даты подписания Сторонами УПД, на основании счета, выставленного Поставщиком, и с учетом пункта 2.4.3 Договора.</w:t>
      </w:r>
    </w:p>
    <w:p>
      <w:pPr>
        <w:pStyle w:val="ListParagraph"/>
        <w:widowControl/>
        <w:numPr>
          <w:ilvl w:val="2"/>
          <w:numId w:val="2"/>
        </w:numPr>
        <w:tabs>
          <w:tab w:val="clear" w:pos="708"/>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Расчет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numPr>
          <w:ilvl w:val="1"/>
          <w:numId w:val="2"/>
        </w:numPr>
        <w:tabs>
          <w:tab w:val="clear" w:pos="708"/>
          <w:tab w:val="left" w:pos="1134" w:leader="none"/>
        </w:tabs>
        <w:ind w:left="0" w:firstLine="709"/>
        <w:jc w:val="both"/>
        <w:rPr>
          <w:sz w:val="24"/>
          <w:szCs w:val="24"/>
        </w:rPr>
      </w:pPr>
      <w:r>
        <w:rPr>
          <w:sz w:val="24"/>
          <w:szCs w:val="24"/>
        </w:rPr>
        <w:t>Поставщик обязан представить Покупателю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УПД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134" w:leader="none"/>
        </w:tabs>
        <w:ind w:left="0" w:firstLine="709"/>
        <w:jc w:val="both"/>
        <w:rPr>
          <w:sz w:val="24"/>
          <w:szCs w:val="24"/>
        </w:rPr>
      </w:pPr>
      <w:r>
        <w:rPr>
          <w:sz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Покупателя перед Поставщиком,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ListParagraph"/>
        <w:tabs>
          <w:tab w:val="clear" w:pos="708"/>
          <w:tab w:val="left" w:pos="1134" w:leader="none"/>
          <w:tab w:val="left" w:pos="1425" w:leader="none"/>
        </w:tabs>
        <w:ind w:left="0" w:firstLine="720"/>
        <w:jc w:val="both"/>
        <w:rPr>
          <w:sz w:val="24"/>
          <w:szCs w:val="24"/>
        </w:rPr>
      </w:pPr>
      <w:r>
        <w:rPr>
          <w:sz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sz w:val="24"/>
          <w:szCs w:val="24"/>
        </w:rPr>
      </w:pPr>
      <w:r>
        <w:rPr>
          <w:sz w:val="24"/>
          <w:szCs w:val="24"/>
        </w:rPr>
        <w:t>сертификат качества в 1(одном)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технический паспорт на русском языке в 1(одном) экз.;</w:t>
      </w:r>
    </w:p>
    <w:p>
      <w:pPr>
        <w:pStyle w:val="Normal"/>
        <w:numPr>
          <w:ilvl w:val="0"/>
          <w:numId w:val="4"/>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упаковочный лист в 1(одном) экз.;</w:t>
      </w:r>
    </w:p>
    <w:p>
      <w:pPr>
        <w:pStyle w:val="Normal"/>
        <w:numPr>
          <w:ilvl w:val="0"/>
          <w:numId w:val="3"/>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tabs>
          <w:tab w:val="clear" w:pos="708"/>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1(одном) экз.;</w:t>
      </w:r>
    </w:p>
    <w:p>
      <w:pPr>
        <w:pStyle w:val="Normal"/>
        <w:numPr>
          <w:ilvl w:val="0"/>
          <w:numId w:val="3"/>
        </w:numPr>
        <w:tabs>
          <w:tab w:val="clear" w:pos="708"/>
          <w:tab w:val="left" w:pos="1418" w:leader="none"/>
        </w:tabs>
        <w:ind w:left="0" w:firstLine="709"/>
        <w:jc w:val="both"/>
        <w:rPr>
          <w:sz w:val="24"/>
          <w:szCs w:val="24"/>
        </w:rPr>
      </w:pPr>
      <w:r>
        <w:rPr>
          <w:sz w:val="24"/>
          <w:szCs w:val="24"/>
        </w:rPr>
        <w:t>УПД в 2 –х (двух) экз.</w:t>
      </w:r>
    </w:p>
    <w:p>
      <w:pPr>
        <w:pStyle w:val="ListParagraph"/>
        <w:widowControl/>
        <w:numPr>
          <w:ilvl w:val="1"/>
          <w:numId w:val="2"/>
        </w:numPr>
        <w:tabs>
          <w:tab w:val="clear" w:pos="708"/>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tabs>
          <w:tab w:val="clear" w:pos="708"/>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tabs>
          <w:tab w:val="clear" w:pos="708"/>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tabs>
          <w:tab w:val="clear" w:pos="708"/>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tabs>
          <w:tab w:val="clear" w:pos="708"/>
          <w:tab w:val="left" w:pos="1134" w:leader="none"/>
          <w:tab w:val="left" w:pos="1418" w:leader="none"/>
        </w:tabs>
        <w:ind w:left="0" w:firstLine="709"/>
        <w:jc w:val="both"/>
        <w:rPr>
          <w:sz w:val="24"/>
          <w:szCs w:val="24"/>
        </w:rPr>
      </w:pPr>
      <w:r>
        <w:rPr>
          <w:sz w:val="24"/>
          <w:szCs w:val="24"/>
        </w:rPr>
        <w:t xml:space="preserve">Погрузка, доставка, разгрузка и перемещение Товара по территории Покупателя </w:t>
      </w:r>
      <w:r>
        <w:rPr>
          <w:bCs/>
          <w:sz w:val="24"/>
          <w:szCs w:val="24"/>
        </w:rPr>
        <w:t>осуществляется</w:t>
      </w:r>
      <w:r>
        <w:rPr>
          <w:sz w:val="24"/>
          <w:szCs w:val="24"/>
        </w:rPr>
        <w:t xml:space="preserve"> Поставщиком. Стоимость погрузки, доставки, разгрузки, перемещение Товара включена в стоимость Товара.</w:t>
      </w:r>
    </w:p>
    <w:p>
      <w:pPr>
        <w:pStyle w:val="ListParagraph"/>
        <w:widowControl/>
        <w:numPr>
          <w:ilvl w:val="1"/>
          <w:numId w:val="2"/>
        </w:numPr>
        <w:tabs>
          <w:tab w:val="clear" w:pos="708"/>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tabs>
          <w:tab w:val="clear" w:pos="708"/>
          <w:tab w:val="left" w:pos="1418" w:leader="none"/>
        </w:tabs>
        <w:ind w:left="0" w:firstLine="709"/>
        <w:jc w:val="both"/>
        <w:rPr>
          <w:sz w:val="24"/>
          <w:szCs w:val="24"/>
        </w:rPr>
      </w:pPr>
      <w:bookmarkStart w:id="2" w:name="_Ref361396594"/>
      <w:r>
        <w:rPr>
          <w:sz w:val="24"/>
          <w:szCs w:val="24"/>
        </w:rPr>
        <w:t>Датой поставки Товара является дата подписания Сторонами УПД.</w:t>
      </w:r>
      <w:bookmarkEnd w:id="2"/>
      <w:r>
        <w:rPr>
          <w:sz w:val="24"/>
          <w:szCs w:val="24"/>
        </w:rPr>
        <w:t xml:space="preserve"> </w:t>
      </w:r>
    </w:p>
    <w:p>
      <w:pPr>
        <w:pStyle w:val="ListParagraph"/>
        <w:widowControl/>
        <w:numPr>
          <w:ilvl w:val="1"/>
          <w:numId w:val="2"/>
        </w:numPr>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tabs>
          <w:tab w:val="clear" w:pos="708"/>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tabs>
          <w:tab w:val="clear" w:pos="708"/>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 xml:space="preserve">с даты подписания Покупателем транспортных документов. В случае отсутствия замечаний Покупатель подписывает </w:t>
      </w:r>
      <w:r>
        <w:rPr>
          <w:sz w:val="24"/>
          <w:szCs w:val="24"/>
          <w:lang w:val="en-US"/>
        </w:rPr>
        <w:t>УПД</w:t>
      </w:r>
      <w:r>
        <w:rPr>
          <w:sz w:val="24"/>
          <w:szCs w:val="24"/>
        </w:rPr>
        <w:t>.</w:t>
      </w:r>
    </w:p>
    <w:p>
      <w:pPr>
        <w:pStyle w:val="Normal"/>
        <w:numPr>
          <w:ilvl w:val="1"/>
          <w:numId w:val="2"/>
        </w:numPr>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pPr>
        <w:pStyle w:val="Normal"/>
        <w:numPr>
          <w:ilvl w:val="1"/>
          <w:numId w:val="2"/>
        </w:numPr>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УПД.</w:t>
      </w:r>
    </w:p>
    <w:p>
      <w:pPr>
        <w:pStyle w:val="Normal"/>
        <w:ind w:firstLine="709"/>
        <w:jc w:val="both"/>
        <w:rPr>
          <w:sz w:val="24"/>
          <w:szCs w:val="24"/>
        </w:rPr>
      </w:pPr>
      <w:r>
        <w:rPr>
          <w:sz w:val="24"/>
          <w:szCs w:val="24"/>
        </w:rPr>
      </w:r>
    </w:p>
    <w:p>
      <w:pPr>
        <w:pStyle w:val="ListParagraph"/>
        <w:numPr>
          <w:ilvl w:val="0"/>
          <w:numId w:val="2"/>
        </w:numPr>
        <w:tabs>
          <w:tab w:val="clear" w:pos="708"/>
          <w:tab w:val="left" w:pos="284" w:leader="none"/>
        </w:tabs>
        <w:ind w:left="0" w:firstLine="709"/>
        <w:jc w:val="center"/>
        <w:rPr>
          <w:b/>
          <w:sz w:val="24"/>
          <w:szCs w:val="24"/>
        </w:rPr>
      </w:pPr>
      <w:r>
        <w:rPr>
          <w:b/>
          <w:sz w:val="24"/>
          <w:szCs w:val="24"/>
        </w:rPr>
        <w:t>Гарантийный срок</w:t>
      </w:r>
    </w:p>
    <w:p>
      <w:pPr>
        <w:pStyle w:val="ListParagraph"/>
        <w:numPr>
          <w:ilvl w:val="1"/>
          <w:numId w:val="2"/>
        </w:numPr>
        <w:tabs>
          <w:tab w:val="clear" w:pos="708"/>
          <w:tab w:val="left" w:pos="1134" w:leader="none"/>
          <w:tab w:val="left" w:pos="1440" w:leader="none"/>
        </w:tabs>
        <w:ind w:left="0" w:firstLine="630"/>
        <w:jc w:val="both"/>
        <w:rPr>
          <w:sz w:val="24"/>
          <w:szCs w:val="24"/>
        </w:rPr>
      </w:pPr>
      <w:r>
        <w:rPr>
          <w:sz w:val="24"/>
          <w:szCs w:val="24"/>
        </w:rPr>
        <w:t xml:space="preserve">Гарантийный срок на Товар, поставленный по Договору, должен соответствовать гарантии, заявленной производителем и начинает течь с даты подписания Сторонами УПД. Гарантийный срок может быть продлен в соответствии с условиями Договора. </w:t>
      </w:r>
    </w:p>
    <w:p>
      <w:pPr>
        <w:pStyle w:val="ListParagraph"/>
        <w:tabs>
          <w:tab w:val="clear" w:pos="708"/>
          <w:tab w:val="left" w:pos="1134" w:leader="none"/>
          <w:tab w:val="left" w:pos="1440" w:leader="none"/>
        </w:tabs>
        <w:ind w:left="0" w:firstLine="630"/>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tabs>
          <w:tab w:val="clear" w:pos="708"/>
          <w:tab w:val="left" w:pos="1134" w:leader="none"/>
          <w:tab w:val="left" w:pos="1440" w:leader="none"/>
        </w:tabs>
        <w:ind w:left="0" w:firstLine="630"/>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tabs>
          <w:tab w:val="clear" w:pos="708"/>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tabs>
          <w:tab w:val="clear" w:pos="708"/>
          <w:tab w:val="left" w:pos="1134" w:leader="none"/>
        </w:tabs>
        <w:ind w:left="709" w:hanging="0"/>
        <w:jc w:val="both"/>
        <w:rPr>
          <w:sz w:val="24"/>
          <w:szCs w:val="24"/>
        </w:rPr>
      </w:pPr>
      <w:r>
        <w:rPr>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8"/>
          <w:tab w:val="left" w:pos="993" w:leader="none"/>
          <w:tab w:val="left" w:pos="1134" w:leader="none"/>
        </w:tabs>
        <w:ind w:left="0" w:firstLine="720"/>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tabs>
          <w:tab w:val="clear" w:pos="708"/>
          <w:tab w:val="left" w:pos="993" w:leader="none"/>
          <w:tab w:val="left" w:pos="1134" w:leader="none"/>
        </w:tabs>
        <w:ind w:left="0" w:firstLine="720"/>
        <w:jc w:val="both"/>
        <w:rPr>
          <w:bCs/>
          <w:sz w:val="24"/>
          <w:szCs w:val="24"/>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ListParagraph"/>
        <w:numPr>
          <w:ilvl w:val="1"/>
          <w:numId w:val="2"/>
        </w:numPr>
        <w:tabs>
          <w:tab w:val="clear" w:pos="708"/>
          <w:tab w:val="left" w:pos="993" w:leader="none"/>
        </w:tabs>
        <w:ind w:left="0" w:firstLine="720"/>
        <w:jc w:val="both"/>
        <w:rPr>
          <w:bCs/>
          <w:sz w:val="24"/>
          <w:szCs w:val="24"/>
        </w:rPr>
      </w:pPr>
      <w:r>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del w:id="0" w:author="kipriianovaiv@corp.gidroogk.com" w:date="2026-07-30T10:24:33Z">
        <w:r>
          <w:rPr>
            <w:bCs/>
            <w:sz w:val="24"/>
            <w:szCs w:val="24"/>
          </w:rPr>
          <w:delText>, начиная с 31 (тридцать первого) календарного дня просрочки (неустойка с 1 по 30 день просрочки не начисляется)</w:delText>
        </w:r>
      </w:del>
      <w:r>
        <w:rPr>
          <w:bCs/>
          <w:sz w:val="24"/>
          <w:szCs w:val="24"/>
        </w:rPr>
        <w:t>.</w:t>
      </w:r>
    </w:p>
    <w:p>
      <w:pPr>
        <w:pStyle w:val="ListParagraph"/>
        <w:widowControl/>
        <w:numPr>
          <w:ilvl w:val="1"/>
          <w:numId w:val="2"/>
        </w:numPr>
        <w:tabs>
          <w:tab w:val="clear" w:pos="708"/>
          <w:tab w:val="left" w:pos="993" w:leader="none"/>
          <w:tab w:val="left" w:pos="1134" w:leader="none"/>
        </w:tabs>
        <w:ind w:left="0" w:firstLine="720"/>
        <w:jc w:val="both"/>
        <w:rPr>
          <w:bCs/>
          <w:sz w:val="24"/>
          <w:szCs w:val="24"/>
        </w:rPr>
      </w:pPr>
      <w:r>
        <w:rPr>
          <w:bCs/>
          <w:sz w:val="24"/>
          <w:szCs w:val="24"/>
        </w:rPr>
        <w:t>В случае нарушения Поставщиком обязательств по поставке Товара (нарушение срока поставки, недопоставка), в том числе установленных Календарным графиком поставки Товара (Приложение № 4 к Договору), а также в случае несвоевременного устранения выявленных недостатков Товара, Покупатель вправе требовать уплаты Поставщиком</w:t>
      </w:r>
    </w:p>
    <w:p>
      <w:pPr>
        <w:pStyle w:val="ListParagraph"/>
        <w:widowControl/>
        <w:numPr>
          <w:ilvl w:val="2"/>
          <w:numId w:val="2"/>
        </w:numPr>
        <w:tabs>
          <w:tab w:val="clear" w:pos="708"/>
          <w:tab w:val="left" w:pos="993" w:leader="none"/>
          <w:tab w:val="left" w:pos="1134" w:leader="none"/>
        </w:tabs>
        <w:ind w:left="0" w:firstLine="720"/>
        <w:jc w:val="both"/>
        <w:rPr>
          <w:bCs/>
          <w:sz w:val="24"/>
          <w:szCs w:val="24"/>
        </w:rPr>
      </w:pPr>
      <w:r>
        <w:rPr>
          <w:bCs/>
          <w:sz w:val="24"/>
          <w:szCs w:val="24"/>
        </w:rPr>
        <w:t>Неустойки в размере 0,1 (ноль целых и одна десятая) процента от цены Партии Товара за каждый день просрочки;</w:t>
      </w:r>
    </w:p>
    <w:p>
      <w:pPr>
        <w:pStyle w:val="ListParagraph"/>
        <w:widowControl/>
        <w:numPr>
          <w:ilvl w:val="2"/>
          <w:numId w:val="2"/>
        </w:numPr>
        <w:tabs>
          <w:tab w:val="clear" w:pos="708"/>
          <w:tab w:val="left" w:pos="993" w:leader="none"/>
          <w:tab w:val="left" w:pos="1134" w:leader="none"/>
        </w:tabs>
        <w:ind w:left="0" w:firstLine="720"/>
        <w:jc w:val="both"/>
        <w:rPr>
          <w:bCs/>
          <w:sz w:val="24"/>
          <w:szCs w:val="24"/>
        </w:rPr>
      </w:pPr>
      <w:r>
        <w:rPr>
          <w:bCs/>
          <w:sz w:val="24"/>
          <w:szCs w:val="24"/>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p>
    <w:p>
      <w:pPr>
        <w:pStyle w:val="ListParagraph"/>
        <w:widowControl/>
        <w:numPr>
          <w:ilvl w:val="2"/>
          <w:numId w:val="2"/>
        </w:numPr>
        <w:tabs>
          <w:tab w:val="clear" w:pos="708"/>
          <w:tab w:val="left" w:pos="993" w:leader="none"/>
          <w:tab w:val="left" w:pos="1134" w:leader="none"/>
        </w:tabs>
        <w:ind w:left="0" w:firstLine="720"/>
        <w:jc w:val="both"/>
        <w:rPr>
          <w:bCs/>
          <w:sz w:val="24"/>
          <w:szCs w:val="24"/>
        </w:rPr>
      </w:pPr>
      <w:r>
        <w:rPr>
          <w:bCs/>
          <w:sz w:val="24"/>
          <w:szCs w:val="24"/>
        </w:rPr>
        <w:t>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w:t>
      </w:r>
    </w:p>
    <w:p>
      <w:pPr>
        <w:pStyle w:val="ListParagraph"/>
        <w:widowControl/>
        <w:numPr>
          <w:ilvl w:val="1"/>
          <w:numId w:val="2"/>
        </w:numPr>
        <w:tabs>
          <w:tab w:val="clear" w:pos="708"/>
          <w:tab w:val="left" w:pos="993" w:leader="none"/>
          <w:tab w:val="left" w:pos="1134" w:leader="none"/>
          <w:tab w:val="left" w:pos="1701" w:leader="none"/>
        </w:tabs>
        <w:ind w:left="0" w:firstLine="720"/>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tabs>
          <w:tab w:val="clear" w:pos="708"/>
          <w:tab w:val="left" w:pos="993" w:leader="none"/>
          <w:tab w:val="left" w:pos="1134" w:leader="none"/>
        </w:tabs>
        <w:ind w:left="0" w:firstLine="720"/>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tabs>
          <w:tab w:val="clear" w:pos="708"/>
          <w:tab w:val="left" w:pos="993" w:leader="none"/>
          <w:tab w:val="left" w:pos="1134" w:leader="none"/>
        </w:tabs>
        <w:ind w:left="0" w:firstLine="720"/>
        <w:jc w:val="both"/>
        <w:rPr>
          <w:bCs/>
          <w:sz w:val="24"/>
          <w:szCs w:val="24"/>
        </w:rPr>
      </w:pPr>
      <w:r>
        <w:rPr>
          <w:bCs/>
          <w:sz w:val="24"/>
          <w:szCs w:val="24"/>
        </w:rPr>
        <w:t xml:space="preserve">Если в результате составления и выставления Поставщиком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tabs>
          <w:tab w:val="clear" w:pos="708"/>
          <w:tab w:val="left" w:pos="993" w:leader="none"/>
          <w:tab w:val="left" w:pos="1134" w:leader="none"/>
        </w:tabs>
        <w:ind w:left="0" w:firstLine="720"/>
        <w:jc w:val="both"/>
        <w:rPr>
          <w:bCs/>
          <w:sz w:val="24"/>
          <w:szCs w:val="24"/>
        </w:rPr>
      </w:pPr>
      <w:r>
        <w:rPr>
          <w:bCs/>
          <w:sz w:val="24"/>
          <w:szCs w:val="24"/>
        </w:rPr>
        <w:t>В случае нарушения Поставщиком сроков предоставления 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 xml:space="preserve">Поставщик несет ответственность перед Покупателем за причиненные убытки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tabs>
          <w:tab w:val="clear" w:pos="708"/>
          <w:tab w:val="left" w:pos="993" w:leader="none"/>
          <w:tab w:val="left" w:pos="1276" w:leader="none"/>
        </w:tabs>
        <w:ind w:left="0" w:firstLine="720"/>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jc w:val="both"/>
        <w:rPr>
          <w:sz w:val="24"/>
          <w:szCs w:val="24"/>
        </w:rPr>
      </w:pPr>
      <w:r>
        <w:rPr>
          <w:sz w:val="24"/>
          <w:szCs w:val="24"/>
        </w:rPr>
      </w:r>
    </w:p>
    <w:p>
      <w:pPr>
        <w:pStyle w:val="Normal"/>
        <w:jc w:val="both"/>
        <w:rPr>
          <w:sz w:val="24"/>
          <w:szCs w:val="24"/>
        </w:rPr>
      </w:pPr>
      <w:r>
        <w:rPr>
          <w:sz w:val="24"/>
          <w:szCs w:val="24"/>
        </w:rPr>
      </w:r>
    </w:p>
    <w:p>
      <w:pPr>
        <w:pStyle w:val="ListParagraph"/>
        <w:widowControl/>
        <w:numPr>
          <w:ilvl w:val="0"/>
          <w:numId w:val="2"/>
        </w:numPr>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jc w:val="both"/>
        <w:rPr>
          <w:bCs/>
          <w:sz w:val="24"/>
          <w:szCs w:val="24"/>
        </w:rPr>
      </w:pPr>
      <w:r>
        <w:rPr>
          <w:bCs/>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13.7 Договора.</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tabs>
          <w:tab w:val="clear" w:pos="708"/>
          <w:tab w:val="left" w:pos="1134" w:leader="none"/>
        </w:tabs>
        <w:ind w:firstLine="709"/>
        <w:jc w:val="both"/>
        <w:rPr>
          <w:bCs/>
          <w:color w:val="000000"/>
          <w:sz w:val="24"/>
          <w:szCs w:val="24"/>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tabs>
          <w:tab w:val="clear" w:pos="708"/>
          <w:tab w:val="left" w:pos="1134" w:leader="none"/>
        </w:tabs>
        <w:ind w:firstLine="709"/>
        <w:jc w:val="both"/>
        <w:rPr>
          <w:bCs/>
          <w:color w:val="000000"/>
          <w:sz w:val="24"/>
          <w:szCs w:val="24"/>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tabs>
          <w:tab w:val="clear" w:pos="708"/>
          <w:tab w:val="left" w:pos="1134" w:leader="none"/>
        </w:tabs>
        <w:ind w:firstLine="709"/>
        <w:jc w:val="both"/>
        <w:rPr>
          <w:bCs/>
          <w:color w:val="000000"/>
          <w:sz w:val="24"/>
          <w:szCs w:val="24"/>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tabs>
          <w:tab w:val="clear" w:pos="708"/>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tabs>
          <w:tab w:val="clear" w:pos="708"/>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tabs>
          <w:tab w:val="clear" w:pos="708"/>
          <w:tab w:val="left" w:pos="567" w:leader="none"/>
          <w:tab w:val="left" w:pos="1134" w:leader="none"/>
        </w:tabs>
        <w:ind w:firstLine="709"/>
        <w:jc w:val="both"/>
        <w:rPr>
          <w:color w:val="000000"/>
          <w:sz w:val="24"/>
          <w:szCs w:val="24"/>
        </w:rPr>
      </w:pPr>
      <w:r>
        <w:rPr>
          <w:color w:val="000000"/>
          <w:sz w:val="24"/>
          <w:szCs w:val="24"/>
        </w:rPr>
        <w:t xml:space="preserve">8.7.  Каналы связи Линия доверия Группы РусГидро: </w:t>
      </w:r>
    </w:p>
    <w:p>
      <w:pPr>
        <w:pStyle w:val="Normal"/>
        <w:tabs>
          <w:tab w:val="clear" w:pos="708"/>
          <w:tab w:val="left" w:pos="567" w:leader="none"/>
          <w:tab w:val="left" w:pos="1134" w:leader="none"/>
        </w:tabs>
        <w:ind w:firstLine="709"/>
        <w:jc w:val="both"/>
        <w:rPr>
          <w:sz w:val="24"/>
          <w:szCs w:val="24"/>
        </w:rPr>
      </w:pPr>
      <w:r>
        <w:rPr>
          <w:sz w:val="24"/>
          <w:szCs w:val="24"/>
        </w:rPr>
        <w:t>8.7.1. Электронная почта: ld@rushydro.ru.</w:t>
      </w:r>
    </w:p>
    <w:p>
      <w:pPr>
        <w:pStyle w:val="Normal"/>
        <w:tabs>
          <w:tab w:val="clear" w:pos="708"/>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jc w:val="both"/>
        <w:rPr>
          <w:sz w:val="24"/>
          <w:szCs w:val="24"/>
        </w:rPr>
      </w:pPr>
      <w:r>
        <w:rPr>
          <w:sz w:val="24"/>
          <w:szCs w:val="24"/>
        </w:rPr>
      </w:r>
    </w:p>
    <w:p>
      <w:pPr>
        <w:pStyle w:val="Normal"/>
        <w:widowControl/>
        <w:numPr>
          <w:ilvl w:val="0"/>
          <w:numId w:val="2"/>
        </w:numPr>
        <w:tabs>
          <w:tab w:val="clear" w:pos="708"/>
          <w:tab w:val="left" w:pos="426" w:leader="none"/>
        </w:tabs>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tabs>
          <w:tab w:val="clear" w:pos="708"/>
          <w:tab w:val="left" w:pos="1134" w:leader="none"/>
        </w:tabs>
        <w:ind w:firstLine="709"/>
        <w:jc w:val="both"/>
        <w:rPr>
          <w:bCs/>
          <w:sz w:val="24"/>
          <w:szCs w:val="24"/>
        </w:rPr>
      </w:pPr>
      <w:r>
        <w:rPr>
          <w:bCs/>
          <w:sz w:val="24"/>
          <w:szCs w:val="24"/>
        </w:rPr>
      </w:r>
    </w:p>
    <w:p>
      <w:pPr>
        <w:pStyle w:val="ListParagraph"/>
        <w:widowControl/>
        <w:numPr>
          <w:ilvl w:val="0"/>
          <w:numId w:val="2"/>
        </w:numPr>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tabs>
          <w:tab w:val="clear" w:pos="708"/>
          <w:tab w:val="left" w:pos="1134" w:leader="none"/>
          <w:tab w:val="left" w:pos="1418" w:leader="none"/>
        </w:tabs>
        <w:ind w:left="0" w:hanging="0"/>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tabs>
          <w:tab w:val="clear" w:pos="708"/>
          <w:tab w:val="left" w:pos="1134" w:leader="none"/>
        </w:tabs>
        <w:ind w:left="0" w:hanging="0"/>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tabs>
          <w:tab w:val="clear" w:pos="708"/>
          <w:tab w:val="left" w:pos="142" w:leader="none"/>
          <w:tab w:val="left" w:pos="1418" w:leader="none"/>
        </w:tabs>
        <w:snapToGrid w:val="false"/>
        <w:ind w:left="0" w:firstLine="709"/>
        <w:jc w:val="both"/>
        <w:rPr>
          <w:sz w:val="24"/>
          <w:szCs w:val="24"/>
          <w:highlight w:val="lightGray"/>
          <w:lang w:eastAsia="en-US"/>
        </w:rPr>
      </w:pPr>
      <w:r>
        <w:rPr>
          <w:sz w:val="24"/>
          <w:szCs w:val="24"/>
          <w:highlight w:val="lightGray"/>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lang w:eastAsia="en-US"/>
        </w:rPr>
      </w:pPr>
      <w:r>
        <w:rPr>
          <w:sz w:val="24"/>
          <w:szCs w:val="24"/>
          <w:highlight w:val="lightGray"/>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sz w:val="24"/>
          <w:szCs w:val="24"/>
          <w:highlight w:val="lightGray"/>
          <w:lang w:eastAsia="en-US"/>
        </w:rPr>
        <w:footnoteReference w:id="3"/>
      </w:r>
      <w:r>
        <w:rPr>
          <w:sz w:val="24"/>
          <w:szCs w:val="24"/>
          <w:highlight w:val="lightGray"/>
          <w:lang w:eastAsia="en-US"/>
        </w:rPr>
        <w:t>.</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tabs>
          <w:tab w:val="clear" w:pos="708"/>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tabs>
          <w:tab w:val="clear" w:pos="708"/>
          <w:tab w:val="left" w:pos="1440" w:leader="none"/>
        </w:tabs>
        <w:ind w:left="540" w:firstLine="180"/>
        <w:jc w:val="both"/>
        <w:rPr>
          <w:sz w:val="24"/>
          <w:szCs w:val="24"/>
        </w:rPr>
      </w:pPr>
      <w:r>
        <w:rPr>
          <w:bCs/>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r>
        <w:rPr>
          <w:sz w:val="24"/>
          <w:szCs w:val="24"/>
        </w:rPr>
        <w:t xml:space="preserve">  </w:t>
      </w:r>
    </w:p>
    <w:p>
      <w:pPr>
        <w:pStyle w:val="ListParagraph"/>
        <w:numPr>
          <w:ilvl w:val="1"/>
          <w:numId w:val="2"/>
        </w:numPr>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color="auto" w:fill="FFFFFF"/>
        <w:tabs>
          <w:tab w:val="clear" w:pos="708"/>
          <w:tab w:val="left" w:pos="0" w:leader="none"/>
          <w:tab w:val="left" w:pos="1418" w:leader="none"/>
          <w:tab w:val="left" w:pos="1851" w:leader="none"/>
        </w:tabs>
        <w:ind w:left="0" w:firstLine="709"/>
        <w:jc w:val="both"/>
        <w:rPr>
          <w:sz w:val="24"/>
          <w:szCs w:val="24"/>
          <w:highlight w:val="lightGray"/>
        </w:rPr>
      </w:pPr>
      <w:r>
        <w:rPr>
          <w:sz w:val="24"/>
          <w:szCs w:val="24"/>
          <w:highlight w:val="lightGray"/>
        </w:rPr>
        <w:t>Договор составлен в 2 (двух) оригинальных экземплярах, имеющих равную юридическую силу, по 1 (одному) для каждой из Сторон</w:t>
      </w:r>
      <w:r>
        <w:rPr>
          <w:rStyle w:val="FootnoteReference"/>
          <w:sz w:val="24"/>
          <w:szCs w:val="24"/>
          <w:highlight w:val="lightGray"/>
        </w:rPr>
        <w:footnoteReference w:id="4"/>
      </w:r>
      <w:r>
        <w:rPr>
          <w:sz w:val="24"/>
          <w:szCs w:val="24"/>
          <w:highlight w:val="lightGray"/>
        </w:rPr>
        <w:t>.</w:t>
      </w:r>
    </w:p>
    <w:p>
      <w:pPr>
        <w:pStyle w:val="ListParagraph"/>
        <w:ind w:left="709" w:hanging="0"/>
        <w:jc w:val="both"/>
        <w:rPr>
          <w:sz w:val="24"/>
          <w:szCs w:val="24"/>
        </w:rPr>
      </w:pPr>
      <w:r>
        <w:rPr>
          <w:sz w:val="24"/>
          <w:szCs w:val="24"/>
        </w:rPr>
      </w:r>
    </w:p>
    <w:p>
      <w:pPr>
        <w:pStyle w:val="Normal"/>
        <w:ind w:firstLine="567"/>
        <w:jc w:val="both"/>
        <w:rPr>
          <w:sz w:val="24"/>
          <w:szCs w:val="24"/>
        </w:rPr>
      </w:pPr>
      <w:r>
        <w:rPr>
          <w:sz w:val="24"/>
          <w:szCs w:val="24"/>
        </w:rPr>
      </w:r>
    </w:p>
    <w:p>
      <w:pPr>
        <w:pStyle w:val="Normal"/>
        <w:widowControl/>
        <w:numPr>
          <w:ilvl w:val="0"/>
          <w:numId w:val="2"/>
        </w:numPr>
        <w:tabs>
          <w:tab w:val="clear" w:pos="708"/>
          <w:tab w:val="left" w:pos="284" w:leader="none"/>
        </w:tabs>
        <w:spacing w:before="0" w:after="0"/>
        <w:ind w:left="0" w:hanging="360"/>
        <w:contextualSpacing/>
        <w:jc w:val="center"/>
        <w:rPr>
          <w:b/>
          <w:bCs/>
          <w:sz w:val="24"/>
          <w:szCs w:val="24"/>
        </w:rPr>
      </w:pPr>
      <w:r>
        <w:rPr>
          <w:b/>
          <w:bCs/>
          <w:sz w:val="24"/>
          <w:szCs w:val="24"/>
        </w:rPr>
        <w:t xml:space="preserve">Список приложений </w:t>
      </w:r>
    </w:p>
    <w:p>
      <w:pPr>
        <w:pStyle w:val="Normal"/>
        <w:widowControl/>
        <w:tabs>
          <w:tab w:val="clear" w:pos="708"/>
          <w:tab w:val="left" w:pos="0" w:leader="none"/>
        </w:tabs>
        <w:ind w:firstLine="709"/>
        <w:jc w:val="both"/>
        <w:rPr>
          <w:rFonts w:eastAsia="Calibri"/>
          <w:sz w:val="24"/>
          <w:szCs w:val="24"/>
          <w:lang w:eastAsia="en-US"/>
        </w:rPr>
      </w:pPr>
      <w:bookmarkStart w:id="10" w:name="sub_1"/>
      <w:r>
        <w:rPr>
          <w:rFonts w:eastAsia="Calibri"/>
          <w:sz w:val="24"/>
          <w:szCs w:val="24"/>
          <w:lang w:eastAsia="en-US"/>
        </w:rPr>
        <w:t>Приложение № 1 – Спецификация.</w:t>
      </w:r>
    </w:p>
    <w:p>
      <w:pPr>
        <w:pStyle w:val="Normal"/>
        <w:widowControl/>
        <w:tabs>
          <w:tab w:val="clear" w:pos="708"/>
          <w:tab w:val="left" w:pos="0" w:leader="none"/>
          <w:tab w:val="left" w:pos="2694" w:leader="none"/>
        </w:tabs>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10"/>
    </w:p>
    <w:p>
      <w:pPr>
        <w:pStyle w:val="Normal"/>
        <w:widowControl/>
        <w:tabs>
          <w:tab w:val="clear" w:pos="708"/>
          <w:tab w:val="left" w:pos="0" w:leader="none"/>
          <w:tab w:val="left" w:pos="2694" w:leader="none"/>
        </w:tabs>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widowControl/>
        <w:tabs>
          <w:tab w:val="clear" w:pos="708"/>
          <w:tab w:val="left" w:pos="0" w:leader="none"/>
          <w:tab w:val="left" w:pos="2694" w:leader="none"/>
        </w:tabs>
        <w:ind w:firstLine="709"/>
        <w:jc w:val="both"/>
        <w:rPr>
          <w:bCs/>
          <w:sz w:val="24"/>
          <w:szCs w:val="24"/>
        </w:rPr>
      </w:pPr>
      <w:r>
        <w:rPr>
          <w:bCs/>
          <w:sz w:val="24"/>
          <w:szCs w:val="24"/>
        </w:rPr>
        <w:t>Приложение № 4 – Календарный график поставки Товара.</w:t>
      </w:r>
    </w:p>
    <w:p>
      <w:pPr>
        <w:pStyle w:val="Normal"/>
        <w:ind w:firstLine="709"/>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tabs>
          <w:tab w:val="clear" w:pos="708"/>
          <w:tab w:val="left" w:pos="426" w:leader="none"/>
        </w:tabs>
        <w:ind w:left="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928"/>
        <w:gridCol w:w="4961"/>
      </w:tblGrid>
      <w:tr>
        <w:trPr/>
        <w:tc>
          <w:tcPr>
            <w:tcW w:w="4928" w:type="dxa"/>
            <w:tcBorders/>
          </w:tcPr>
          <w:p>
            <w:pPr>
              <w:pStyle w:val="Normal"/>
              <w:widowControl w:val="false"/>
              <w:rPr>
                <w:sz w:val="24"/>
                <w:szCs w:val="24"/>
              </w:rPr>
            </w:pPr>
            <w:r>
              <w:rPr>
                <w:sz w:val="24"/>
                <w:szCs w:val="24"/>
              </w:rPr>
              <w:t>ПОКУПАТЕЛЬ:</w:t>
            </w:r>
          </w:p>
        </w:tc>
        <w:tc>
          <w:tcPr>
            <w:tcW w:w="4961" w:type="dxa"/>
            <w:tcBorders/>
          </w:tcPr>
          <w:p>
            <w:pPr>
              <w:pStyle w:val="Normal"/>
              <w:widowControl w:val="false"/>
              <w:rPr>
                <w:sz w:val="24"/>
                <w:szCs w:val="24"/>
              </w:rPr>
            </w:pPr>
            <w:r>
              <w:rPr>
                <w:sz w:val="24"/>
                <w:szCs w:val="24"/>
              </w:rPr>
              <w:t>ПОСТАВЩИК:</w:t>
            </w:r>
          </w:p>
        </w:tc>
      </w:tr>
      <w:tr>
        <w:trPr/>
        <w:tc>
          <w:tcPr>
            <w:tcW w:w="4928" w:type="dxa"/>
            <w:tcBorders/>
            <w:shd w:color="auto" w:fill="auto"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Место нахождения: </w:t>
            </w:r>
          </w:p>
          <w:p>
            <w:pPr>
              <w:pStyle w:val="Normal"/>
              <w:widowControl w:val="false"/>
              <w:rPr>
                <w:sz w:val="24"/>
                <w:szCs w:val="24"/>
              </w:rPr>
            </w:pPr>
            <w:r>
              <w:rPr>
                <w:sz w:val="24"/>
                <w:szCs w:val="24"/>
              </w:rPr>
              <w:t xml:space="preserve">660049, Красноярский край, г.о. город Красноярск, г. Красноярск, ул. Перенсона, зд. 2А, помещ. 1 </w:t>
            </w:r>
          </w:p>
          <w:p>
            <w:pPr>
              <w:pStyle w:val="Normal"/>
              <w:widowControl w:val="false"/>
              <w:rPr>
                <w:sz w:val="24"/>
                <w:szCs w:val="24"/>
              </w:rPr>
            </w:pPr>
            <w:r>
              <w:rPr>
                <w:sz w:val="24"/>
                <w:szCs w:val="24"/>
              </w:rPr>
              <w:t xml:space="preserve">Почтовый адрес: </w:t>
            </w:r>
          </w:p>
          <w:p>
            <w:pPr>
              <w:pStyle w:val="Normal"/>
              <w:widowControl w:val="false"/>
              <w:rPr>
                <w:sz w:val="24"/>
              </w:rPr>
            </w:pPr>
            <w:r>
              <w:rPr>
                <w:sz w:val="24"/>
                <w:szCs w:val="24"/>
              </w:rPr>
              <w:t xml:space="preserve">Филиал ПАО «РусГидро» - «Воткинская ГЭС», </w:t>
            </w:r>
            <w:r>
              <w:rPr>
                <w:sz w:val="24"/>
              </w:rPr>
              <w:t xml:space="preserve">617761, Пермский край,  </w:t>
            </w:r>
          </w:p>
          <w:p>
            <w:pPr>
              <w:pStyle w:val="BodyTextIndent3"/>
              <w:widowControl w:val="false"/>
              <w:ind w:left="-15" w:hanging="0"/>
              <w:rPr>
                <w:sz w:val="24"/>
              </w:rPr>
            </w:pPr>
            <w:r>
              <w:rPr>
                <w:sz w:val="24"/>
              </w:rPr>
              <w:t>г.о. Чайковский, г. Чайковский, тер. Воткинской ГЭС, д.1/2</w:t>
            </w:r>
          </w:p>
          <w:p>
            <w:pPr>
              <w:pStyle w:val="Normal"/>
              <w:widowControl w:val="false"/>
              <w:rPr>
                <w:sz w:val="24"/>
                <w:szCs w:val="24"/>
              </w:rPr>
            </w:pPr>
            <w:r>
              <w:rPr>
                <w:sz w:val="24"/>
                <w:szCs w:val="24"/>
              </w:rPr>
              <w:t xml:space="preserve">ОГРН 1042401810494, </w:t>
            </w:r>
          </w:p>
          <w:p>
            <w:pPr>
              <w:pStyle w:val="Normal"/>
              <w:widowControl w:val="false"/>
              <w:rPr>
                <w:sz w:val="24"/>
                <w:szCs w:val="24"/>
              </w:rPr>
            </w:pPr>
            <w:r>
              <w:rPr>
                <w:sz w:val="24"/>
                <w:szCs w:val="24"/>
              </w:rPr>
              <w:t>ИНН 2460066195 / КПП 592002001</w:t>
            </w:r>
          </w:p>
          <w:p>
            <w:pPr>
              <w:pStyle w:val="Normal"/>
              <w:widowControl w:val="false"/>
              <w:rPr>
                <w:sz w:val="24"/>
                <w:szCs w:val="24"/>
              </w:rPr>
            </w:pPr>
            <w:r>
              <w:rPr>
                <w:sz w:val="24"/>
                <w:szCs w:val="24"/>
              </w:rPr>
              <w:t xml:space="preserve">р/с 40702810700000059925 </w:t>
            </w:r>
          </w:p>
          <w:p>
            <w:pPr>
              <w:pStyle w:val="Normal"/>
              <w:widowControl w:val="false"/>
              <w:rPr>
                <w:sz w:val="24"/>
                <w:szCs w:val="24"/>
              </w:rPr>
            </w:pPr>
            <w:r>
              <w:rPr>
                <w:sz w:val="24"/>
                <w:szCs w:val="24"/>
              </w:rPr>
              <w:t xml:space="preserve">Банк ГПБ (АО) г. Москва </w:t>
            </w:r>
          </w:p>
          <w:p>
            <w:pPr>
              <w:pStyle w:val="Normal"/>
              <w:widowControl w:val="false"/>
              <w:rPr>
                <w:sz w:val="24"/>
                <w:szCs w:val="24"/>
              </w:rPr>
            </w:pPr>
            <w:r>
              <w:rPr>
                <w:sz w:val="24"/>
                <w:szCs w:val="24"/>
              </w:rPr>
              <w:t>к/с 30101810200000000823</w:t>
            </w:r>
          </w:p>
          <w:p>
            <w:pPr>
              <w:pStyle w:val="Normal"/>
              <w:widowControl w:val="false"/>
              <w:rPr>
                <w:sz w:val="24"/>
                <w:szCs w:val="24"/>
              </w:rPr>
            </w:pPr>
            <w:r>
              <w:rPr>
                <w:sz w:val="24"/>
                <w:szCs w:val="24"/>
              </w:rPr>
              <w:t xml:space="preserve">БИК 044525823 </w:t>
            </w:r>
          </w:p>
          <w:p>
            <w:pPr>
              <w:pStyle w:val="Normal"/>
              <w:widowControl w:val="false"/>
              <w:rPr>
                <w:sz w:val="24"/>
                <w:szCs w:val="24"/>
              </w:rPr>
            </w:pPr>
            <w:r>
              <w:rPr>
                <w:sz w:val="24"/>
                <w:szCs w:val="24"/>
              </w:rPr>
              <w:t>Тел. 8(34-241) 7-04-04, 7-03-31</w:t>
            </w:r>
          </w:p>
          <w:p>
            <w:pPr>
              <w:pStyle w:val="Normal"/>
              <w:widowControl w:val="false"/>
              <w:rPr>
                <w:sz w:val="24"/>
                <w:szCs w:val="24"/>
              </w:rPr>
            </w:pPr>
            <w:r>
              <w:rPr>
                <w:sz w:val="24"/>
                <w:szCs w:val="24"/>
              </w:rPr>
              <w:t>Факс 8(34-241) 7-03-55</w:t>
            </w:r>
          </w:p>
          <w:p>
            <w:pPr>
              <w:pStyle w:val="Normal"/>
              <w:widowControl w:val="false"/>
              <w:rPr>
                <w:sz w:val="24"/>
                <w:szCs w:val="24"/>
              </w:rPr>
            </w:pPr>
            <w:r>
              <w:rPr>
                <w:sz w:val="24"/>
                <w:szCs w:val="24"/>
              </w:rPr>
            </w:r>
          </w:p>
        </w:tc>
        <w:tc>
          <w:tcPr>
            <w:tcW w:w="4961" w:type="dxa"/>
            <w:tcBorders/>
            <w:shd w:color="auto" w:fill="auto" w:val="clear"/>
          </w:tcPr>
          <w:p>
            <w:pPr>
              <w:pStyle w:val="Normal"/>
              <w:widowControl w:val="false"/>
              <w:rPr>
                <w:sz w:val="24"/>
                <w:szCs w:val="24"/>
              </w:rPr>
            </w:pPr>
            <w:r>
              <w:rPr>
                <w:sz w:val="24"/>
                <w:szCs w:val="24"/>
              </w:rPr>
            </w:r>
          </w:p>
        </w:tc>
      </w:tr>
      <w:tr>
        <w:trPr/>
        <w:tc>
          <w:tcPr>
            <w:tcW w:w="4928" w:type="dxa"/>
            <w:tcBorders/>
          </w:tcPr>
          <w:p>
            <w:pPr>
              <w:pStyle w:val="Normal"/>
              <w:widowControl w:val="false"/>
              <w:rPr>
                <w:sz w:val="24"/>
                <w:szCs w:val="24"/>
              </w:rPr>
            </w:pPr>
            <w:r>
              <w:rPr>
                <w:sz w:val="24"/>
                <w:szCs w:val="24"/>
              </w:rPr>
              <w:t xml:space="preserve">_______________ / А.Г. Бяков </w:t>
            </w:r>
          </w:p>
          <w:p>
            <w:pPr>
              <w:pStyle w:val="Normal"/>
              <w:widowControl w:val="false"/>
              <w:rPr>
                <w:sz w:val="24"/>
                <w:szCs w:val="24"/>
              </w:rPr>
            </w:pPr>
            <w:r>
              <w:rPr>
                <w:sz w:val="24"/>
                <w:szCs w:val="24"/>
              </w:rPr>
            </w:r>
          </w:p>
        </w:tc>
        <w:tc>
          <w:tcPr>
            <w:tcW w:w="4961" w:type="dxa"/>
            <w:tcBorders/>
          </w:tcPr>
          <w:p>
            <w:pPr>
              <w:pStyle w:val="Normal"/>
              <w:widowControl w:val="false"/>
              <w:rPr>
                <w:sz w:val="24"/>
                <w:szCs w:val="24"/>
              </w:rPr>
            </w:pPr>
            <w:r>
              <w:rPr>
                <w:sz w:val="24"/>
                <w:szCs w:val="24"/>
              </w:rPr>
              <w:t xml:space="preserve">_______________ / </w:t>
            </w:r>
            <w:r>
              <w:rPr>
                <w:sz w:val="24"/>
                <w:szCs w:val="24"/>
                <w:lang w:val="en-US"/>
              </w:rPr>
              <w:t>_______________</w:t>
            </w:r>
            <w:r>
              <w:rPr>
                <w:sz w:val="24"/>
                <w:szCs w:val="24"/>
              </w:rPr>
              <w:t xml:space="preserve"> </w:t>
            </w:r>
          </w:p>
        </w:tc>
      </w:tr>
    </w:tbl>
    <w:p>
      <w:pPr>
        <w:sectPr>
          <w:headerReference w:type="default" r:id="rId5"/>
          <w:headerReference w:type="first" r:id="rId6"/>
          <w:footerReference w:type="default" r:id="rId7"/>
          <w:footnotePr>
            <w:numFmt w:val="decimal"/>
          </w:footnotePr>
          <w:type w:val="nextPage"/>
          <w:pgSz w:w="11906" w:h="16838"/>
          <w:pgMar w:left="1418" w:right="851" w:gutter="0" w:header="709" w:top="1134" w:footer="709" w:bottom="1134"/>
          <w:pgNumType w:fmt="decimal"/>
          <w:formProt w:val="false"/>
          <w:titlePg/>
          <w:textDirection w:val="lrTb"/>
          <w:docGrid w:type="default" w:linePitch="360" w:charSpace="0"/>
        </w:sectPr>
      </w:pPr>
    </w:p>
    <w:p>
      <w:pPr>
        <w:sectPr>
          <w:headerReference w:type="default" r:id="rId8"/>
          <w:headerReference w:type="first" r:id="rId9"/>
          <w:footerReference w:type="default" r:id="rId10"/>
          <w:footerReference w:type="first" r:id="rId11"/>
          <w:footnotePr>
            <w:numFmt w:val="decimal"/>
          </w:footnotePr>
          <w:type w:val="nextPage"/>
          <w:pgSz w:orient="landscape" w:w="16838" w:h="11906"/>
          <w:pgMar w:left="1138" w:right="1138" w:gutter="0" w:header="706" w:top="1411" w:footer="706" w:bottom="850"/>
          <w:pgNumType w:fmt="decimal"/>
          <w:formProt w:val="false"/>
          <w:textDirection w:val="lrTb"/>
          <w:docGrid w:type="default" w:linePitch="360" w:charSpace="0"/>
        </w:sectPr>
        <w:pStyle w:val="Normal"/>
        <w:ind w:left="5103" w:hanging="0"/>
        <w:jc w:val="right"/>
        <w:rPr>
          <w:sz w:val="22"/>
          <w:szCs w:val="22"/>
        </w:rPr>
      </w:pPr>
      <w:r>
        <w:rPr>
          <w:sz w:val="22"/>
          <w:szCs w:val="22"/>
        </w:rPr>
        <w:t>Приложение № 1к Договору поставки</w:t>
      </w:r>
    </w:p>
    <w:p>
      <w:pPr>
        <w:pStyle w:val="Normal"/>
        <w:ind w:left="5103" w:hanging="0"/>
        <w:jc w:val="right"/>
        <w:rPr>
          <w:sz w:val="22"/>
          <w:szCs w:val="22"/>
        </w:rPr>
      </w:pPr>
      <w:r>
        <w:rPr>
          <w:sz w:val="22"/>
          <w:szCs w:val="22"/>
        </w:rPr>
        <w:t>от «____» ________ 2026 г. № ____________</w:t>
      </w:r>
    </w:p>
    <w:p>
      <w:pPr>
        <w:pStyle w:val="Normal"/>
        <w:widowControl/>
        <w:jc w:val="right"/>
        <w:rPr>
          <w:rFonts w:eastAsia="Calibri"/>
          <w:b/>
          <w:sz w:val="24"/>
          <w:szCs w:val="24"/>
          <w:lang w:eastAsia="en-US"/>
        </w:rPr>
      </w:pPr>
      <w:r>
        <w:rPr>
          <w:rFonts w:eastAsia="Calibri"/>
          <w:b/>
          <w:sz w:val="24"/>
          <w:szCs w:val="24"/>
          <w:lang w:eastAsia="en-US"/>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val="04a0" w:noHBand="0" w:noVBand="1" w:firstColumn="1" w:lastRow="0" w:lastColumn="0" w:firstRow="1"/>
      </w:tblPr>
      <w:tblGrid>
        <w:gridCol w:w="202"/>
        <w:gridCol w:w="1018"/>
        <w:gridCol w:w="997"/>
        <w:gridCol w:w="681"/>
        <w:gridCol w:w="550"/>
        <w:gridCol w:w="577"/>
        <w:gridCol w:w="537"/>
        <w:gridCol w:w="284"/>
        <w:gridCol w:w="551"/>
        <w:gridCol w:w="366"/>
        <w:gridCol w:w="582"/>
        <w:gridCol w:w="684"/>
        <w:gridCol w:w="733"/>
        <w:gridCol w:w="888"/>
        <w:gridCol w:w="6"/>
        <w:gridCol w:w="828"/>
        <w:gridCol w:w="150"/>
      </w:tblGrid>
      <w:tr>
        <w:trPr>
          <w:tblHeader w:val="true"/>
          <w:trHeight w:val="1999" w:hRule="atLeast"/>
        </w:trPr>
        <w:tc>
          <w:tcPr>
            <w:tcW w:w="2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 xml:space="preserve">№ </w:t>
            </w:r>
            <w:r>
              <w:rPr>
                <w:bCs/>
              </w:rPr>
              <w:t>поз.</w:t>
            </w:r>
          </w:p>
        </w:tc>
        <w:tc>
          <w:tcPr>
            <w:tcW w:w="101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Наименование Товара</w:t>
            </w:r>
          </w:p>
        </w:tc>
        <w:tc>
          <w:tcPr>
            <w:tcW w:w="99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Артикул, тип, марка</w:t>
            </w:r>
          </w:p>
        </w:tc>
        <w:tc>
          <w:tcPr>
            <w:tcW w:w="68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Производитель Товара</w:t>
            </w:r>
          </w:p>
        </w:tc>
        <w:tc>
          <w:tcPr>
            <w:tcW w:w="55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Страна происхождения Товара</w:t>
            </w:r>
          </w:p>
        </w:tc>
        <w:tc>
          <w:tcPr>
            <w:tcW w:w="5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t>Страна регистрации производителя Товара</w:t>
            </w:r>
          </w:p>
        </w:tc>
        <w:tc>
          <w:tcPr>
            <w:tcW w:w="537" w:type="dxa"/>
            <w:tcBorders>
              <w:top w:val="single" w:sz="4" w:space="0" w:color="000000"/>
              <w:left w:val="single" w:sz="4" w:space="0" w:color="000000"/>
              <w:bottom w:val="single" w:sz="4" w:space="0" w:color="000000"/>
              <w:right w:val="single" w:sz="4" w:space="0" w:color="000000"/>
            </w:tcBorders>
          </w:tcPr>
          <w:p>
            <w:pPr>
              <w:pStyle w:val="Normal"/>
              <w:widowControl w:val="false"/>
              <w:ind w:left="-104" w:right="-105" w:hanging="0"/>
              <w:jc w:val="center"/>
              <w:rPr>
                <w:bCs/>
              </w:rPr>
            </w:pPr>
            <w:r>
              <w:rPr>
                <w:bCs/>
              </w:rPr>
              <w:t>Код ОКПД 2 (с наименованием)</w:t>
            </w:r>
          </w:p>
        </w:tc>
        <w:tc>
          <w:tcPr>
            <w:tcW w:w="28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Ед. изм.</w:t>
            </w:r>
          </w:p>
        </w:tc>
        <w:tc>
          <w:tcPr>
            <w:tcW w:w="5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Порядковый номер(а) реестровой(ых) записи(ей)</w:t>
            </w:r>
          </w:p>
        </w:tc>
        <w:tc>
          <w:tcPr>
            <w:tcW w:w="3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Количество</w:t>
            </w:r>
          </w:p>
        </w:tc>
        <w:tc>
          <w:tcPr>
            <w:tcW w:w="58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51" w:leader="none"/>
              </w:tabs>
              <w:ind w:left="-69" w:hanging="0"/>
              <w:jc w:val="center"/>
              <w:rPr>
                <w:bCs/>
              </w:rPr>
            </w:pPr>
            <w:r>
              <w:rPr>
                <w:bCs/>
              </w:rPr>
              <w:t>Цена за единицу, руб. без НДС</w:t>
            </w:r>
          </w:p>
        </w:tc>
        <w:tc>
          <w:tcPr>
            <w:tcW w:w="68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Сумма, руб. без НДС</w:t>
            </w:r>
          </w:p>
        </w:tc>
        <w:tc>
          <w:tcPr>
            <w:tcW w:w="73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НДС</w:t>
            </w:r>
          </w:p>
          <w:p>
            <w:pPr>
              <w:pStyle w:val="Normal"/>
              <w:widowControl w:val="false"/>
              <w:jc w:val="center"/>
              <w:rPr>
                <w:bCs/>
              </w:rPr>
            </w:pPr>
            <w:r>
              <w:rPr>
                <w:bCs/>
              </w:rPr>
              <w:t>(22%) руб.</w:t>
            </w:r>
          </w:p>
        </w:tc>
        <w:tc>
          <w:tcPr>
            <w:tcW w:w="8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Стоимость, руб., с НДС</w:t>
            </w:r>
          </w:p>
        </w:tc>
        <w:tc>
          <w:tcPr>
            <w:tcW w:w="83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Перечень сопроводительных документов (в том числе подтверждающих качество Товара)</w:t>
            </w:r>
          </w:p>
        </w:tc>
        <w:tc>
          <w:tcPr>
            <w:tcW w:w="150" w:type="dxa"/>
            <w:tcBorders/>
          </w:tcPr>
          <w:p>
            <w:pPr>
              <w:pStyle w:val="Normal"/>
              <w:widowControl w:val="false"/>
              <w:rPr/>
            </w:pPr>
            <w:r>
              <w:rPr/>
            </w:r>
          </w:p>
        </w:tc>
      </w:tr>
      <w:tr>
        <w:trPr>
          <w:trHeight w:val="190"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1</w:t>
            </w:r>
          </w:p>
        </w:tc>
        <w:tc>
          <w:tcPr>
            <w:tcW w:w="1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8" w:type="dxa"/>
            <w:tcBorders>
              <w:top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0" w:type="dxa"/>
            <w:tcBorders/>
          </w:tcPr>
          <w:p>
            <w:pPr>
              <w:pStyle w:val="Normal"/>
              <w:widowControl w:val="false"/>
              <w:rPr/>
            </w:pPr>
            <w:r>
              <w:rPr/>
            </w:r>
          </w:p>
        </w:tc>
      </w:tr>
      <w:tr>
        <w:trPr>
          <w:trHeight w:val="262"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2</w:t>
            </w:r>
          </w:p>
        </w:tc>
        <w:tc>
          <w:tcPr>
            <w:tcW w:w="1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8"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0" w:type="dxa"/>
            <w:tcBorders/>
          </w:tcPr>
          <w:p>
            <w:pPr>
              <w:pStyle w:val="Normal"/>
              <w:widowControl w:val="false"/>
              <w:rPr/>
            </w:pPr>
            <w:r>
              <w:rPr/>
            </w:r>
          </w:p>
        </w:tc>
      </w:tr>
      <w:tr>
        <w:trPr>
          <w:trHeight w:val="262"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3</w:t>
            </w:r>
          </w:p>
        </w:tc>
        <w:tc>
          <w:tcPr>
            <w:tcW w:w="1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8"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0" w:type="dxa"/>
            <w:tcBorders/>
          </w:tcPr>
          <w:p>
            <w:pPr>
              <w:pStyle w:val="Normal"/>
              <w:widowControl w:val="false"/>
              <w:rPr/>
            </w:pPr>
            <w:r>
              <w:rPr/>
            </w:r>
          </w:p>
        </w:tc>
      </w:tr>
      <w:tr>
        <w:trPr>
          <w:trHeight w:val="244"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lang w:val="en-US"/>
              </w:rPr>
            </w:pPr>
            <w:r>
              <w:rPr>
                <w:lang w:val="en-US"/>
              </w:rPr>
              <w:t>…</w:t>
            </w:r>
          </w:p>
        </w:tc>
        <w:tc>
          <w:tcPr>
            <w:tcW w:w="1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8"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0" w:type="dxa"/>
            <w:tcBorders/>
          </w:tcPr>
          <w:p>
            <w:pPr>
              <w:pStyle w:val="Normal"/>
              <w:widowControl w:val="false"/>
              <w:rPr/>
            </w:pPr>
            <w:r>
              <w:rPr/>
            </w:r>
          </w:p>
        </w:tc>
      </w:tr>
      <w:tr>
        <w:trPr>
          <w:trHeight w:val="70"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lang w:val="en-US"/>
              </w:rPr>
            </w:pPr>
            <w:r>
              <w:rPr>
                <w:lang w:val="en-US"/>
              </w:rPr>
              <w:t>…</w:t>
            </w:r>
          </w:p>
        </w:tc>
        <w:tc>
          <w:tcPr>
            <w:tcW w:w="1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lang w:val="en-US"/>
              </w:rPr>
            </w:pPr>
            <w:r>
              <w:rPr>
                <w:lang w:val="en-US"/>
              </w:rPr>
            </w:r>
          </w:p>
        </w:tc>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8"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0" w:type="dxa"/>
            <w:tcBorders/>
          </w:tcPr>
          <w:p>
            <w:pPr>
              <w:pStyle w:val="Normal"/>
              <w:widowControl w:val="false"/>
              <w:rPr/>
            </w:pPr>
            <w:r>
              <w:rPr/>
            </w:r>
          </w:p>
        </w:tc>
      </w:tr>
      <w:tr>
        <w:trPr>
          <w:trHeight w:val="70" w:hRule="atLeast"/>
        </w:trPr>
        <w:tc>
          <w:tcPr>
            <w:tcW w:w="2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lang w:val="en-US"/>
              </w:rPr>
            </w:pPr>
            <w:r>
              <w:rPr>
                <w:lang w:val="en-US"/>
              </w:rPr>
              <w:t>…</w:t>
            </w:r>
          </w:p>
        </w:tc>
        <w:tc>
          <w:tcPr>
            <w:tcW w:w="1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3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733" w:type="dxa"/>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88" w:type="dxa"/>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83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50" w:type="dxa"/>
            <w:tcBorders/>
          </w:tcPr>
          <w:p>
            <w:pPr>
              <w:pStyle w:val="Normal"/>
              <w:widowControl w:val="false"/>
              <w:rPr/>
            </w:pPr>
            <w:r>
              <w:rPr/>
            </w:r>
          </w:p>
        </w:tc>
      </w:tr>
      <w:tr>
        <w:trPr>
          <w:trHeight w:val="538" w:hRule="atLeast"/>
        </w:trPr>
        <w:tc>
          <w:tcPr>
            <w:tcW w:w="6345" w:type="dxa"/>
            <w:gridSpan w:val="11"/>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right"/>
              <w:rPr>
                <w:sz w:val="24"/>
                <w:szCs w:val="24"/>
              </w:rPr>
            </w:pPr>
            <w:r>
              <w:rPr>
                <w:sz w:val="24"/>
                <w:szCs w:val="24"/>
              </w:rPr>
              <w:t>Итого стоимость всего Товара (с учетом доставки), руб.</w:t>
            </w:r>
          </w:p>
        </w:tc>
        <w:tc>
          <w:tcPr>
            <w:tcW w:w="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b/>
              </w:rPr>
            </w:pPr>
            <w:r>
              <w:rPr>
                <w:b/>
              </w:rPr>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b/>
              </w:rPr>
            </w:pPr>
            <w:r>
              <w:rPr>
                <w:b/>
              </w:rPr>
            </w:r>
          </w:p>
        </w:tc>
        <w:tc>
          <w:tcPr>
            <w:tcW w:w="89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b/>
              </w:rPr>
            </w:pPr>
            <w:r>
              <w:rPr>
                <w:b/>
              </w:rPr>
            </w:r>
          </w:p>
        </w:tc>
        <w:tc>
          <w:tcPr>
            <w:tcW w:w="9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r>
    </w:tbl>
    <w:p>
      <w:pPr>
        <w:pStyle w:val="Normal"/>
        <w:rPr>
          <w:i/>
          <w:i/>
          <w:sz w:val="24"/>
          <w:szCs w:val="24"/>
        </w:rPr>
      </w:pPr>
      <w:r>
        <w:rPr>
          <w:i/>
          <w:sz w:val="24"/>
          <w:szCs w:val="24"/>
        </w:rPr>
      </w:r>
    </w:p>
    <w:p>
      <w:pPr>
        <w:pStyle w:val="Normal"/>
        <w:rPr>
          <w:i/>
          <w:i/>
          <w:sz w:val="22"/>
          <w:szCs w:val="22"/>
        </w:rPr>
      </w:pPr>
      <w:r>
        <w:rPr>
          <w:i/>
          <w:sz w:val="22"/>
          <w:szCs w:val="22"/>
        </w:rPr>
      </w:r>
    </w:p>
    <w:p>
      <w:pPr>
        <w:pStyle w:val="Normal"/>
        <w:rPr>
          <w:i/>
          <w:i/>
          <w:sz w:val="22"/>
          <w:szCs w:val="22"/>
        </w:rPr>
      </w:pPr>
      <w:r>
        <w:rPr>
          <w:i/>
          <w:sz w:val="22"/>
          <w:szCs w:val="22"/>
        </w:rPr>
      </w:r>
    </w:p>
    <w:tbl>
      <w:tblPr>
        <w:tblW w:w="14562"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7282"/>
        <w:gridCol w:w="7279"/>
      </w:tblGrid>
      <w:tr>
        <w:trPr>
          <w:trHeight w:val="269" w:hRule="atLeast"/>
        </w:trPr>
        <w:tc>
          <w:tcPr>
            <w:tcW w:w="7282" w:type="dxa"/>
            <w:tcBorders/>
          </w:tcPr>
          <w:p>
            <w:pPr>
              <w:pStyle w:val="Normal"/>
              <w:widowControl w:val="false"/>
              <w:rPr>
                <w:b/>
                <w:sz w:val="24"/>
              </w:rPr>
            </w:pPr>
            <w:r>
              <w:rPr>
                <w:b/>
                <w:sz w:val="24"/>
              </w:rPr>
              <w:t>Покупатель:</w:t>
            </w:r>
          </w:p>
        </w:tc>
        <w:tc>
          <w:tcPr>
            <w:tcW w:w="7279" w:type="dxa"/>
            <w:tcBorders/>
          </w:tcPr>
          <w:p>
            <w:pPr>
              <w:pStyle w:val="Normal"/>
              <w:widowControl w:val="false"/>
              <w:rPr>
                <w:b/>
                <w:sz w:val="24"/>
              </w:rPr>
            </w:pPr>
            <w:r>
              <w:rPr>
                <w:b/>
                <w:sz w:val="24"/>
              </w:rPr>
              <w:t>Поставщик:</w:t>
            </w:r>
          </w:p>
          <w:p>
            <w:pPr>
              <w:pStyle w:val="Normal"/>
              <w:widowControl w:val="false"/>
              <w:rPr>
                <w:b/>
                <w:sz w:val="24"/>
              </w:rPr>
            </w:pPr>
            <w:r>
              <w:rPr>
                <w:b/>
                <w:sz w:val="24"/>
              </w:rPr>
            </w:r>
          </w:p>
        </w:tc>
      </w:tr>
    </w:tbl>
    <w:p>
      <w:pPr>
        <w:sectPr>
          <w:headerReference w:type="default" r:id="rId12"/>
          <w:headerReference w:type="first" r:id="rId13"/>
          <w:footerReference w:type="default" r:id="rId14"/>
          <w:footerReference w:type="first" r:id="rId15"/>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pStyle w:val="Normal"/>
        <w:rPr>
          <w:i/>
          <w:i/>
          <w:sz w:val="24"/>
          <w:szCs w:val="24"/>
          <w:highlight w:val="yellow"/>
        </w:rPr>
      </w:pPr>
      <w:r>
        <w:rPr/>
        <w:t xml:space="preserve"> </w:t>
      </w:r>
      <w:r>
        <w:rPr>
          <w:sz w:val="24"/>
          <w:szCs w:val="24"/>
        </w:rPr>
        <w:t>__________________ /А.Г. Бяков</w:t>
        <w:tab/>
        <w:t xml:space="preserve">                                                                               _______________ /_________</w:t>
      </w:r>
    </w:p>
    <w:p>
      <w:pPr>
        <w:pStyle w:val="Normal"/>
        <w:ind w:left="5103" w:hanging="0"/>
        <w:jc w:val="right"/>
        <w:rPr>
          <w:sz w:val="22"/>
          <w:szCs w:val="22"/>
        </w:rPr>
      </w:pPr>
      <w:r>
        <w:rPr>
          <w:sz w:val="22"/>
          <w:szCs w:val="22"/>
        </w:rPr>
        <w:t>Приложение № 2</w:t>
      </w:r>
    </w:p>
    <w:p>
      <w:pPr>
        <w:pStyle w:val="Normal"/>
        <w:ind w:left="5103" w:hanging="0"/>
        <w:jc w:val="right"/>
        <w:rPr>
          <w:sz w:val="22"/>
          <w:szCs w:val="22"/>
        </w:rPr>
      </w:pPr>
      <w:r>
        <w:rPr>
          <w:sz w:val="22"/>
          <w:szCs w:val="22"/>
        </w:rPr>
        <w:t xml:space="preserve">к Договору поставки </w:t>
      </w:r>
    </w:p>
    <w:p>
      <w:pPr>
        <w:pStyle w:val="Normal"/>
        <w:ind w:left="5103" w:hanging="0"/>
        <w:jc w:val="right"/>
        <w:rPr>
          <w:sz w:val="22"/>
          <w:szCs w:val="22"/>
        </w:rPr>
      </w:pPr>
      <w:r>
        <w:rPr>
          <w:sz w:val="22"/>
          <w:szCs w:val="22"/>
        </w:rPr>
        <w:t xml:space="preserve">от «____» ________ 2026 г. № ____________ </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jc w:val="center"/>
        <w:rPr>
          <w:rFonts w:eastAsia="Calibri"/>
          <w:color w:val="000000" w:themeColor="text1"/>
          <w:sz w:val="24"/>
          <w:szCs w:val="24"/>
          <w:lang w:eastAsia="en-US"/>
        </w:rPr>
      </w:pPr>
      <w:r>
        <w:rPr>
          <w:rFonts w:eastAsia="Calibri"/>
          <w:color w:val="000000" w:themeColor="text1"/>
          <w:sz w:val="24"/>
          <w:szCs w:val="24"/>
          <w:lang w:eastAsia="en-US"/>
        </w:rPr>
        <w:t>ОКПД2 19.20.29.160 Поставка горюче-смазочных материалов для нужд филиала ПАО "РусГидро"-"Воткинская ГЭС"</w:t>
      </w:r>
    </w:p>
    <w:p>
      <w:pPr>
        <w:pStyle w:val="Normal"/>
        <w:widowControl/>
        <w:jc w:val="center"/>
        <w:rPr>
          <w:rFonts w:eastAsia="Calibri"/>
          <w:sz w:val="24"/>
          <w:szCs w:val="24"/>
          <w:lang w:eastAsia="en-US"/>
        </w:rPr>
      </w:pPr>
      <w:r>
        <w:rPr>
          <w:rFonts w:eastAsia="Calibri"/>
          <w:sz w:val="24"/>
          <w:szCs w:val="24"/>
          <w:lang w:eastAsia="en-US"/>
        </w:rPr>
      </w:r>
    </w:p>
    <w:p>
      <w:pPr>
        <w:pStyle w:val="Normal"/>
        <w:widowControl/>
        <w:jc w:val="center"/>
        <w:rPr>
          <w:rFonts w:eastAsia="Calibri"/>
          <w:sz w:val="24"/>
          <w:szCs w:val="24"/>
          <w:lang w:eastAsia="en-US"/>
        </w:rPr>
      </w:pPr>
      <w:r>
        <w:rPr>
          <w:rFonts w:eastAsia="Calibri"/>
          <w:sz w:val="24"/>
          <w:szCs w:val="24"/>
          <w:lang w:eastAsia="en-US"/>
        </w:rPr>
        <w:t>Лот № 30-ЭКСП-БПД-2026-ВотГЭС</w:t>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b/>
          <w:sz w:val="24"/>
          <w:szCs w:val="24"/>
        </w:rPr>
      </w:pPr>
      <w:r>
        <w:rPr>
          <w:b/>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986"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5305"/>
        <w:gridCol w:w="4680"/>
      </w:tblGrid>
      <w:tr>
        <w:trPr/>
        <w:tc>
          <w:tcPr>
            <w:tcW w:w="530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_____________________/А.Г. Бяков</w:t>
            </w:r>
          </w:p>
          <w:p>
            <w:pPr>
              <w:pStyle w:val="Normal"/>
              <w:widowControl w:val="false"/>
              <w:rPr>
                <w:sz w:val="24"/>
                <w:szCs w:val="24"/>
              </w:rPr>
            </w:pPr>
            <w:r>
              <w:rPr>
                <w:sz w:val="24"/>
                <w:szCs w:val="24"/>
              </w:rPr>
            </w:r>
          </w:p>
        </w:tc>
        <w:tc>
          <w:tcPr>
            <w:tcW w:w="4680" w:type="dxa"/>
            <w:tcBorders/>
            <w:shd w:color="auto" w:fill="auto" w:val="clear"/>
          </w:tcPr>
          <w:p>
            <w:pPr>
              <w:pStyle w:val="Normal"/>
              <w:widowControl w:val="false"/>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lang w:val="en-US"/>
              </w:rPr>
            </w:pPr>
            <w:r>
              <w:rPr>
                <w:sz w:val="24"/>
                <w:szCs w:val="24"/>
              </w:rPr>
              <w:t>_____________________/</w:t>
            </w:r>
            <w:r>
              <w:rPr>
                <w:sz w:val="24"/>
                <w:szCs w:val="24"/>
                <w:lang w:val="en-US"/>
              </w:rPr>
              <w:t>________</w:t>
            </w:r>
          </w:p>
          <w:p>
            <w:pPr>
              <w:pStyle w:val="Normal"/>
              <w:widowControl w:val="false"/>
              <w:ind w:firstLine="33"/>
              <w:rPr>
                <w:b/>
                <w:sz w:val="24"/>
                <w:szCs w:val="24"/>
              </w:rPr>
            </w:pPr>
            <w:r>
              <w:rPr>
                <w:b/>
                <w:sz w:val="24"/>
                <w:szCs w:val="24"/>
              </w:rPr>
            </w:r>
          </w:p>
        </w:tc>
      </w:tr>
    </w:tbl>
    <w:p>
      <w:pPr>
        <w:sectPr>
          <w:headerReference w:type="default" r:id="rId16"/>
          <w:headerReference w:type="first" r:id="rId17"/>
          <w:footerReference w:type="default" r:id="rId18"/>
          <w:footerReference w:type="first" r:id="rId19"/>
          <w:footnotePr>
            <w:numFmt w:val="decimal"/>
          </w:footnotePr>
          <w:type w:val="nextPage"/>
          <w:pgSz w:w="11906" w:h="16838"/>
          <w:pgMar w:left="1418" w:right="851" w:gutter="0" w:header="567" w:top="1134" w:footer="709" w:bottom="1134"/>
          <w:pgNumType w:fmt="decimal"/>
          <w:formProt w:val="false"/>
          <w:textDirection w:val="lrTb"/>
          <w:docGrid w:type="default" w:linePitch="360" w:charSpace="0"/>
        </w:sectPr>
      </w:pPr>
    </w:p>
    <w:p>
      <w:pPr>
        <w:pStyle w:val="Normal"/>
        <w:widowControl/>
        <w:jc w:val="right"/>
        <w:rPr>
          <w:rFonts w:eastAsia="Calibri"/>
          <w:sz w:val="24"/>
          <w:szCs w:val="24"/>
          <w:lang w:eastAsia="en-US"/>
        </w:rPr>
      </w:pPr>
      <w:r>
        <w:rPr>
          <w:rFonts w:eastAsia="Calibri"/>
          <w:sz w:val="24"/>
          <w:szCs w:val="24"/>
          <w:lang w:eastAsia="en-US"/>
        </w:rPr>
      </w:r>
    </w:p>
    <w:p>
      <w:pPr>
        <w:pStyle w:val="Normal"/>
        <w:ind w:firstLine="5580"/>
        <w:jc w:val="right"/>
        <w:rPr>
          <w:sz w:val="24"/>
          <w:szCs w:val="24"/>
        </w:rPr>
      </w:pPr>
      <w:r>
        <w:rPr>
          <w:sz w:val="24"/>
          <w:szCs w:val="24"/>
        </w:rPr>
        <w:t>Приложение № 3</w:t>
      </w:r>
    </w:p>
    <w:p>
      <w:pPr>
        <w:pStyle w:val="Normal"/>
        <w:ind w:firstLine="5580"/>
        <w:jc w:val="right"/>
        <w:rPr>
          <w:sz w:val="24"/>
          <w:szCs w:val="24"/>
        </w:rPr>
      </w:pPr>
      <w:r>
        <w:rPr>
          <w:sz w:val="24"/>
          <w:szCs w:val="24"/>
        </w:rPr>
        <w:t>к Договору поставки</w:t>
      </w:r>
    </w:p>
    <w:p>
      <w:pPr>
        <w:pStyle w:val="Normal"/>
        <w:ind w:firstLine="5580"/>
        <w:jc w:val="right"/>
        <w:rPr>
          <w:bCs/>
          <w:sz w:val="24"/>
          <w:szCs w:val="24"/>
        </w:rPr>
      </w:pPr>
      <w:r>
        <w:rPr>
          <w:sz w:val="24"/>
          <w:szCs w:val="24"/>
        </w:rPr>
        <w:t>от «__» ________2026 г. № __________</w:t>
      </w:r>
    </w:p>
    <w:p>
      <w:pPr>
        <w:pStyle w:val="Normal"/>
        <w:widowControl/>
        <w:tabs>
          <w:tab w:val="clear" w:pos="708"/>
          <w:tab w:val="left" w:pos="1418" w:leader="none"/>
        </w:tabs>
        <w:spacing w:before="0" w:after="0"/>
        <w:ind w:firstLine="6237"/>
        <w:contextualSpacing/>
        <w:jc w:val="center"/>
        <w:rPr>
          <w:bCs/>
          <w:sz w:val="24"/>
          <w:szCs w:val="24"/>
        </w:rPr>
      </w:pPr>
      <w:r>
        <w:rPr>
          <w:bCs/>
          <w:sz w:val="24"/>
          <w:szCs w:val="24"/>
        </w:rPr>
      </w:r>
    </w:p>
    <w:p>
      <w:pPr>
        <w:pStyle w:val="Normal"/>
        <w:widowControl/>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70"/>
        <w:gridCol w:w="5966"/>
      </w:tblGrid>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sz w:val="24"/>
          <w:szCs w:val="24"/>
        </w:rPr>
      </w:pPr>
      <w:r>
        <w:rPr>
          <w:sz w:val="24"/>
          <w:szCs w:val="24"/>
        </w:rPr>
      </w:r>
    </w:p>
    <w:p>
      <w:pPr>
        <w:pStyle w:val="Normal"/>
        <w:rPr>
          <w:sz w:val="24"/>
          <w:szCs w:val="24"/>
        </w:rPr>
      </w:pPr>
      <w:r>
        <w:rPr>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10346"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5217"/>
        <w:gridCol w:w="5128"/>
      </w:tblGrid>
      <w:tr>
        <w:trPr/>
        <w:tc>
          <w:tcPr>
            <w:tcW w:w="5217"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_____________________/А.Г. Бяков</w:t>
            </w:r>
          </w:p>
          <w:p>
            <w:pPr>
              <w:pStyle w:val="Normal"/>
              <w:widowControl w:val="false"/>
              <w:rPr>
                <w:sz w:val="24"/>
                <w:szCs w:val="24"/>
              </w:rPr>
            </w:pPr>
            <w:r>
              <w:rPr>
                <w:sz w:val="24"/>
                <w:szCs w:val="24"/>
              </w:rPr>
            </w:r>
          </w:p>
        </w:tc>
        <w:tc>
          <w:tcPr>
            <w:tcW w:w="5128"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lang w:val="en-US"/>
              </w:rPr>
            </w:pPr>
            <w:r>
              <w:rPr>
                <w:sz w:val="24"/>
                <w:szCs w:val="24"/>
              </w:rPr>
              <w:t>_____________________/</w:t>
            </w:r>
            <w:r>
              <w:rPr>
                <w:sz w:val="24"/>
                <w:szCs w:val="24"/>
                <w:lang w:val="en-US"/>
              </w:rPr>
              <w:t>___________</w:t>
            </w:r>
          </w:p>
          <w:p>
            <w:pPr>
              <w:pStyle w:val="Normal"/>
              <w:widowControl w:val="false"/>
              <w:ind w:firstLine="33"/>
              <w:rPr>
                <w:b/>
                <w:sz w:val="24"/>
                <w:szCs w:val="24"/>
              </w:rPr>
            </w:pPr>
            <w:r>
              <w:rPr>
                <w:b/>
                <w:sz w:val="24"/>
                <w:szCs w:val="24"/>
              </w:rPr>
            </w:r>
          </w:p>
        </w:tc>
      </w:tr>
    </w:tbl>
    <w:p>
      <w:pPr>
        <w:pStyle w:val="Normal"/>
        <w:rPr>
          <w:b/>
          <w:bCs/>
          <w:sz w:val="24"/>
          <w:szCs w:val="24"/>
        </w:rPr>
      </w:pPr>
      <w:r>
        <w:rPr>
          <w:b/>
          <w:bCs/>
          <w:sz w:val="24"/>
          <w:szCs w:val="24"/>
        </w:rPr>
      </w:r>
    </w:p>
    <w:p>
      <w:pPr>
        <w:pStyle w:val="Normal"/>
        <w:rPr/>
      </w:pPr>
      <w:r>
        <w:rPr/>
      </w:r>
    </w:p>
    <w:p>
      <w:pPr>
        <w:pStyle w:val="Normal"/>
        <w:rPr/>
      </w:pPr>
      <w:r>
        <w:rPr/>
      </w:r>
    </w:p>
    <w:p>
      <w:pPr>
        <w:pStyle w:val="Normal"/>
        <w:rPr/>
      </w:pPr>
      <w:r>
        <w:rPr/>
      </w:r>
    </w:p>
    <w:p>
      <w:pPr>
        <w:pStyle w:val="ListParagraph"/>
        <w:ind w:left="0" w:hanging="0"/>
        <w:jc w:val="both"/>
        <w:rPr>
          <w:bCs/>
        </w:rPr>
      </w:pPr>
      <w:r>
        <w:rPr>
          <w:bCs/>
        </w:rPr>
      </w:r>
    </w:p>
    <w:p>
      <w:pPr>
        <w:pStyle w:val="ListParagraph"/>
        <w:ind w:left="0" w:hanging="0"/>
        <w:jc w:val="both"/>
        <w:rPr>
          <w:bCs/>
        </w:rPr>
      </w:pPr>
      <w:r>
        <w:rPr>
          <w:bCs/>
        </w:rPr>
      </w:r>
    </w:p>
    <w:p>
      <w:pPr>
        <w:pStyle w:val="ListParagraph"/>
        <w:ind w:left="0" w:hanging="0"/>
        <w:jc w:val="both"/>
        <w:rPr>
          <w:bCs/>
        </w:rPr>
      </w:pPr>
      <w:r>
        <w:rPr>
          <w:bCs/>
        </w:rPr>
      </w:r>
    </w:p>
    <w:p>
      <w:pPr>
        <w:pStyle w:val="ListParagraph"/>
        <w:ind w:left="0" w:hanging="0"/>
        <w:jc w:val="both"/>
        <w:rPr>
          <w:bCs/>
        </w:rPr>
      </w:pPr>
      <w:r>
        <w:rPr>
          <w:bCs/>
        </w:rPr>
      </w:r>
    </w:p>
    <w:p>
      <w:pPr>
        <w:pStyle w:val="ListParagraph"/>
        <w:ind w:left="0" w:hanging="0"/>
        <w:jc w:val="both"/>
        <w:rPr>
          <w:bCs/>
        </w:rPr>
      </w:pPr>
      <w:r>
        <w:rPr>
          <w:bCs/>
        </w:rPr>
      </w:r>
    </w:p>
    <w:p>
      <w:pPr>
        <w:pStyle w:val="ListParagraph"/>
        <w:ind w:left="0" w:hanging="0"/>
        <w:jc w:val="both"/>
        <w:rPr>
          <w:bCs/>
        </w:rPr>
      </w:pPr>
      <w:r>
        <w:rPr>
          <w:bCs/>
        </w:rPr>
      </w:r>
    </w:p>
    <w:p>
      <w:pPr>
        <w:pStyle w:val="Normal"/>
        <w:ind w:left="5103" w:hanging="0"/>
        <w:jc w:val="right"/>
        <w:rPr>
          <w:sz w:val="22"/>
          <w:szCs w:val="22"/>
        </w:rPr>
      </w:pPr>
      <w:r>
        <w:rPr>
          <w:sz w:val="22"/>
          <w:szCs w:val="22"/>
        </w:rPr>
        <w:t>Приложение № 4</w:t>
      </w:r>
    </w:p>
    <w:p>
      <w:pPr>
        <w:pStyle w:val="Normal"/>
        <w:ind w:left="5103" w:hanging="0"/>
        <w:jc w:val="right"/>
        <w:rPr>
          <w:sz w:val="22"/>
          <w:szCs w:val="22"/>
        </w:rPr>
      </w:pPr>
      <w:r>
        <w:rPr>
          <w:sz w:val="22"/>
          <w:szCs w:val="22"/>
        </w:rPr>
        <w:t>к Договору поставки</w:t>
      </w:r>
    </w:p>
    <w:p>
      <w:pPr>
        <w:pStyle w:val="Normal"/>
        <w:ind w:left="5103" w:hanging="0"/>
        <w:jc w:val="right"/>
        <w:rPr>
          <w:sz w:val="22"/>
          <w:szCs w:val="22"/>
        </w:rPr>
      </w:pPr>
      <w:r>
        <w:rPr>
          <w:sz w:val="22"/>
          <w:szCs w:val="22"/>
        </w:rPr>
        <w:t xml:space="preserve">от «____» _______2026 г. № _________ </w:t>
      </w:r>
    </w:p>
    <w:p>
      <w:pPr>
        <w:pStyle w:val="Normal"/>
        <w:jc w:val="center"/>
        <w:rPr>
          <w:b/>
          <w:sz w:val="24"/>
          <w:szCs w:val="24"/>
        </w:rPr>
      </w:pPr>
      <w:r>
        <w:rPr>
          <w:b/>
          <w:sz w:val="24"/>
          <w:szCs w:val="24"/>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Календарный график поставки Товара </w:t>
      </w:r>
    </w:p>
    <w:p>
      <w:pPr>
        <w:pStyle w:val="Normal"/>
        <w:suppressAutoHyphens w:val="false"/>
        <w:rPr>
          <w:sz w:val="24"/>
          <w:szCs w:val="24"/>
        </w:rPr>
      </w:pPr>
      <w:r>
        <w:rPr>
          <w:sz w:val="24"/>
          <w:szCs w:val="24"/>
        </w:rPr>
      </w:r>
    </w:p>
    <w:p>
      <w:pPr>
        <w:pStyle w:val="Normal"/>
        <w:suppressAutoHyphens w:val="false"/>
        <w:rPr>
          <w:sz w:val="24"/>
          <w:szCs w:val="24"/>
        </w:rPr>
      </w:pPr>
      <w:r>
        <w:rPr>
          <w:sz w:val="24"/>
          <w:szCs w:val="24"/>
        </w:rPr>
      </w:r>
    </w:p>
    <w:tbl>
      <w:tblPr>
        <w:tblW w:w="991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07"/>
        <w:gridCol w:w="1837"/>
        <w:gridCol w:w="1845"/>
        <w:gridCol w:w="1844"/>
        <w:gridCol w:w="1136"/>
        <w:gridCol w:w="1196"/>
        <w:gridCol w:w="1352"/>
      </w:tblGrid>
      <w:tr>
        <w:trPr>
          <w:trHeight w:val="1150" w:hRule="atLeast"/>
        </w:trPr>
        <w:tc>
          <w:tcPr>
            <w:tcW w:w="7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 xml:space="preserve">№ </w:t>
            </w:r>
            <w:r>
              <w:rPr>
                <w:sz w:val="24"/>
                <w:szCs w:val="24"/>
              </w:rPr>
              <w:t xml:space="preserve">партии </w:t>
            </w:r>
          </w:p>
        </w:tc>
        <w:tc>
          <w:tcPr>
            <w:tcW w:w="18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Наименование Товара (партии Товара)</w:t>
            </w:r>
          </w:p>
        </w:tc>
        <w:tc>
          <w:tcPr>
            <w:tcW w:w="18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 xml:space="preserve">Обоснование стоимости, пункт Спецификации </w:t>
            </w:r>
          </w:p>
        </w:tc>
        <w:tc>
          <w:tcPr>
            <w:tcW w:w="18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Дата поставки Товара</w:t>
            </w:r>
          </w:p>
          <w:p>
            <w:pPr>
              <w:pStyle w:val="Normal"/>
              <w:widowControl w:val="false"/>
              <w:suppressAutoHyphens w:val="false"/>
              <w:jc w:val="center"/>
              <w:rPr>
                <w:sz w:val="24"/>
                <w:szCs w:val="24"/>
              </w:rPr>
            </w:pPr>
            <w:r>
              <w:rPr>
                <w:sz w:val="24"/>
                <w:szCs w:val="24"/>
              </w:rPr>
            </w:r>
          </w:p>
        </w:tc>
        <w:tc>
          <w:tcPr>
            <w:tcW w:w="11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Цена, руб. без НДС</w:t>
            </w:r>
          </w:p>
        </w:tc>
        <w:tc>
          <w:tcPr>
            <w:tcW w:w="11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Сумма НДС (22 %), руб.</w:t>
            </w:r>
          </w:p>
        </w:tc>
        <w:tc>
          <w:tcPr>
            <w:tcW w:w="13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Стоимость партии, руб. с НДС</w:t>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center"/>
              <w:rPr>
                <w:sz w:val="24"/>
                <w:szCs w:val="24"/>
              </w:rPr>
            </w:pPr>
            <w:r>
              <w:rPr>
                <w:sz w:val="24"/>
                <w:szCs w:val="24"/>
              </w:rPr>
              <w:t>1.</w:t>
            </w:r>
          </w:p>
        </w:tc>
        <w:tc>
          <w:tcPr>
            <w:tcW w:w="18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3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center"/>
              <w:rPr>
                <w:sz w:val="24"/>
                <w:szCs w:val="24"/>
              </w:rPr>
            </w:pPr>
            <w:r>
              <w:rPr>
                <w:sz w:val="24"/>
                <w:szCs w:val="24"/>
              </w:rPr>
              <w:t>2.</w:t>
            </w:r>
          </w:p>
        </w:tc>
        <w:tc>
          <w:tcPr>
            <w:tcW w:w="18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3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center"/>
              <w:rPr>
                <w:sz w:val="24"/>
                <w:szCs w:val="24"/>
              </w:rPr>
            </w:pPr>
            <w:r>
              <w:rPr>
                <w:sz w:val="24"/>
                <w:szCs w:val="24"/>
              </w:rPr>
              <w:t>3.</w:t>
            </w:r>
          </w:p>
        </w:tc>
        <w:tc>
          <w:tcPr>
            <w:tcW w:w="18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1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c>
          <w:tcPr>
            <w:tcW w:w="13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r>
      <w:tr>
        <w:trPr/>
        <w:tc>
          <w:tcPr>
            <w:tcW w:w="8565"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right"/>
              <w:rPr>
                <w:b/>
                <w:sz w:val="24"/>
                <w:szCs w:val="24"/>
              </w:rPr>
            </w:pPr>
            <w:r>
              <w:rPr>
                <w:b/>
                <w:sz w:val="24"/>
                <w:szCs w:val="24"/>
              </w:rPr>
              <w:t>Всего по Договору:</w:t>
            </w:r>
          </w:p>
        </w:tc>
        <w:tc>
          <w:tcPr>
            <w:tcW w:w="13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rPr>
                <w:sz w:val="24"/>
                <w:szCs w:val="24"/>
              </w:rPr>
            </w:pPr>
            <w:r>
              <w:rPr>
                <w:sz w:val="24"/>
                <w:szCs w:val="24"/>
              </w:rPr>
            </w:r>
          </w:p>
        </w:tc>
      </w:tr>
    </w:tbl>
    <w:p>
      <w:pPr>
        <w:pStyle w:val="Normal"/>
        <w:suppressAutoHyphens w:val="false"/>
        <w:rPr>
          <w:sz w:val="24"/>
          <w:szCs w:val="24"/>
        </w:rPr>
      </w:pPr>
      <w:r>
        <w:rPr>
          <w:sz w:val="24"/>
          <w:szCs w:val="24"/>
        </w:rPr>
      </w:r>
    </w:p>
    <w:p>
      <w:pPr>
        <w:pStyle w:val="Normal"/>
        <w:suppressAutoHyphens w:val="false"/>
        <w:rPr>
          <w:sz w:val="24"/>
          <w:szCs w:val="24"/>
        </w:rPr>
      </w:pPr>
      <w:r>
        <w:rPr>
          <w:sz w:val="24"/>
          <w:szCs w:val="24"/>
        </w:rPr>
      </w:r>
    </w:p>
    <w:p>
      <w:pPr>
        <w:pStyle w:val="Normal"/>
        <w:suppressAutoHyphens w:val="false"/>
        <w:rPr>
          <w:sz w:val="24"/>
          <w:szCs w:val="24"/>
        </w:rPr>
      </w:pPr>
      <w:r>
        <w:rPr>
          <w:sz w:val="24"/>
          <w:szCs w:val="24"/>
        </w:rPr>
      </w:r>
    </w:p>
    <w:p>
      <w:pPr>
        <w:pStyle w:val="Normal"/>
        <w:tabs>
          <w:tab w:val="clear" w:pos="708"/>
          <w:tab w:val="left" w:pos="4860" w:leader="none"/>
        </w:tabs>
        <w:rPr>
          <w:b/>
          <w:sz w:val="24"/>
          <w:szCs w:val="24"/>
        </w:rPr>
      </w:pPr>
      <w:r>
        <w:rPr>
          <w:b/>
          <w:sz w:val="24"/>
          <w:szCs w:val="24"/>
        </w:rPr>
      </w:r>
    </w:p>
    <w:p>
      <w:pPr>
        <w:pStyle w:val="Normal"/>
        <w:suppressAutoHyphens w:val="false"/>
        <w:rPr>
          <w:sz w:val="24"/>
          <w:szCs w:val="24"/>
        </w:rPr>
      </w:pPr>
      <w:r>
        <w:rPr>
          <w:sz w:val="24"/>
          <w:szCs w:val="24"/>
        </w:rPr>
      </w:r>
    </w:p>
    <w:p>
      <w:pPr>
        <w:pStyle w:val="Normal"/>
        <w:suppressAutoHyphens w:val="false"/>
        <w:rPr>
          <w:sz w:val="24"/>
          <w:szCs w:val="24"/>
        </w:rPr>
      </w:pPr>
      <w:r>
        <w:rPr>
          <w:sz w:val="24"/>
          <w:szCs w:val="24"/>
        </w:rPr>
      </w:r>
    </w:p>
    <w:p>
      <w:pPr>
        <w:pStyle w:val="Normal"/>
        <w:numPr>
          <w:ilvl w:val="0"/>
          <w:numId w:val="0"/>
        </w:numPr>
        <w:suppressAutoHyphens w:val="false"/>
        <w:ind w:left="0" w:hanging="0"/>
        <w:jc w:val="center"/>
        <w:outlineLvl w:val="0"/>
        <w:rPr>
          <w:b/>
          <w:bCs/>
          <w:sz w:val="24"/>
          <w:szCs w:val="24"/>
        </w:rPr>
      </w:pPr>
      <w:r>
        <w:rPr>
          <w:b/>
          <w:bCs/>
          <w:sz w:val="24"/>
          <w:szCs w:val="24"/>
        </w:rPr>
        <w:t>ПОДПИСИ СТОРОН:</w:t>
      </w:r>
    </w:p>
    <w:p>
      <w:pPr>
        <w:pStyle w:val="Normal"/>
        <w:numPr>
          <w:ilvl w:val="0"/>
          <w:numId w:val="0"/>
        </w:numPr>
        <w:suppressAutoHyphens w:val="false"/>
        <w:ind w:left="0" w:hanging="0"/>
        <w:jc w:val="center"/>
        <w:outlineLvl w:val="0"/>
        <w:rPr>
          <w:bCs/>
          <w:sz w:val="24"/>
          <w:szCs w:val="24"/>
        </w:rPr>
      </w:pPr>
      <w:r>
        <w:rPr>
          <w:bCs/>
          <w:sz w:val="24"/>
          <w:szCs w:val="24"/>
        </w:rPr>
      </w:r>
    </w:p>
    <w:tbl>
      <w:tblPr>
        <w:tblW w:w="10099"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4994"/>
        <w:gridCol w:w="5104"/>
      </w:tblGrid>
      <w:tr>
        <w:trPr/>
        <w:tc>
          <w:tcPr>
            <w:tcW w:w="4994" w:type="dxa"/>
            <w:tcBorders/>
            <w:shd w:color="auto" w:fill="auto" w:val="clear"/>
          </w:tcPr>
          <w:p>
            <w:pPr>
              <w:pStyle w:val="Normal"/>
              <w:widowControl w:val="false"/>
              <w:suppressAutoHyphens w:val="false"/>
              <w:rPr>
                <w:b/>
                <w:sz w:val="24"/>
                <w:szCs w:val="24"/>
              </w:rPr>
            </w:pPr>
            <w:r>
              <w:rPr>
                <w:b/>
                <w:sz w:val="24"/>
                <w:szCs w:val="24"/>
              </w:rPr>
              <w:t>Покупатель:</w:t>
            </w:r>
          </w:p>
          <w:p>
            <w:pPr>
              <w:pStyle w:val="Normal"/>
              <w:widowControl w:val="false"/>
              <w:suppressAutoHyphens w:val="false"/>
              <w:rPr>
                <w:sz w:val="24"/>
                <w:szCs w:val="24"/>
              </w:rPr>
            </w:pPr>
            <w:r>
              <w:rPr>
                <w:sz w:val="24"/>
                <w:szCs w:val="24"/>
              </w:rPr>
            </w:r>
          </w:p>
          <w:p>
            <w:pPr>
              <w:pStyle w:val="Normal"/>
              <w:widowControl w:val="false"/>
              <w:suppressAutoHyphens w:val="false"/>
              <w:rPr>
                <w:sz w:val="24"/>
                <w:szCs w:val="24"/>
              </w:rPr>
            </w:pPr>
            <w:r>
              <w:rPr>
                <w:sz w:val="24"/>
                <w:szCs w:val="24"/>
              </w:rPr>
              <w:t>_____________________/ А.Г. Бяков</w:t>
            </w:r>
          </w:p>
          <w:p>
            <w:pPr>
              <w:pStyle w:val="Normal"/>
              <w:widowControl w:val="false"/>
              <w:suppressAutoHyphens w:val="false"/>
              <w:rPr>
                <w:sz w:val="24"/>
                <w:szCs w:val="24"/>
              </w:rPr>
            </w:pPr>
            <w:r>
              <w:rPr>
                <w:sz w:val="24"/>
                <w:szCs w:val="24"/>
              </w:rPr>
            </w:r>
          </w:p>
        </w:tc>
        <w:tc>
          <w:tcPr>
            <w:tcW w:w="5104" w:type="dxa"/>
            <w:tcBorders/>
            <w:shd w:color="auto" w:fill="auto" w:val="clear"/>
          </w:tcPr>
          <w:p>
            <w:pPr>
              <w:pStyle w:val="Normal"/>
              <w:widowControl w:val="false"/>
              <w:suppressAutoHyphens w:val="false"/>
              <w:ind w:firstLine="34"/>
              <w:rPr>
                <w:b/>
                <w:sz w:val="24"/>
                <w:szCs w:val="24"/>
              </w:rPr>
            </w:pPr>
            <w:r>
              <w:rPr>
                <w:b/>
                <w:sz w:val="24"/>
                <w:szCs w:val="24"/>
              </w:rPr>
              <w:t>Поставщик:</w:t>
            </w:r>
          </w:p>
          <w:p>
            <w:pPr>
              <w:pStyle w:val="Normal"/>
              <w:widowControl w:val="false"/>
              <w:suppressAutoHyphens w:val="false"/>
              <w:rPr>
                <w:sz w:val="24"/>
                <w:szCs w:val="24"/>
              </w:rPr>
            </w:pPr>
            <w:r>
              <w:rPr>
                <w:sz w:val="24"/>
                <w:szCs w:val="24"/>
              </w:rPr>
            </w:r>
          </w:p>
          <w:p>
            <w:pPr>
              <w:pStyle w:val="Normal"/>
              <w:widowControl w:val="false"/>
              <w:suppressAutoHyphens w:val="false"/>
              <w:rPr>
                <w:sz w:val="24"/>
                <w:szCs w:val="24"/>
              </w:rPr>
            </w:pPr>
            <w:r>
              <w:rPr>
                <w:sz w:val="24"/>
                <w:szCs w:val="24"/>
              </w:rPr>
              <w:t>_____________________/_____________</w:t>
            </w:r>
          </w:p>
          <w:p>
            <w:pPr>
              <w:pStyle w:val="Normal"/>
              <w:widowControl w:val="false"/>
              <w:suppressAutoHyphens w:val="false"/>
              <w:ind w:firstLine="33"/>
              <w:rPr>
                <w:b/>
                <w:sz w:val="24"/>
                <w:szCs w:val="24"/>
              </w:rPr>
            </w:pPr>
            <w:r>
              <w:rPr>
                <w:b/>
                <w:sz w:val="24"/>
                <w:szCs w:val="24"/>
              </w:rPr>
            </w:r>
          </w:p>
        </w:tc>
      </w:tr>
    </w:tbl>
    <w:p>
      <w:pPr>
        <w:pStyle w:val="ListParagraph"/>
        <w:ind w:left="0" w:hanging="0"/>
        <w:jc w:val="both"/>
        <w:rPr>
          <w:bCs/>
        </w:rPr>
      </w:pPr>
      <w:r>
        <w:rPr>
          <w:bCs/>
        </w:rPr>
      </w:r>
    </w:p>
    <w:p>
      <w:pPr>
        <w:pStyle w:val="Normal"/>
        <w:rPr/>
      </w:pPr>
      <w:r>
        <w:rPr/>
      </w:r>
    </w:p>
    <w:p>
      <w:pPr>
        <w:pStyle w:val="Normal"/>
        <w:rPr/>
      </w:pPr>
      <w:r>
        <w:rPr/>
      </w:r>
    </w:p>
    <w:p>
      <w:pPr>
        <w:pStyle w:val="Normal"/>
        <w:rPr/>
      </w:pPr>
      <w:r>
        <w:rPr/>
      </w:r>
    </w:p>
    <w:sectPr>
      <w:headerReference w:type="default" r:id="rId20"/>
      <w:headerReference w:type="first" r:id="rId21"/>
      <w:footerReference w:type="default" r:id="rId22"/>
      <w:footerReference w:type="first" r:id="rId23"/>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6</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13</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18</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19</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21</w:t>
    </w:r>
    <w:r>
      <w:rPr>
        <w:sz w:val="22"/>
        <w:szCs w:val="22"/>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15"/>
        </w:rPr>
        <w:footnoteRef/>
      </w:r>
      <w:r>
        <w:rPr/>
        <w:t xml:space="preserve"> </w:t>
      </w:r>
      <w:r>
        <w:rPr/>
        <w:t>В случае если Контрагент – МСП, при этом Заказчик попадает под действие постановления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pPr>
        <w:pStyle w:val="FootnoteText"/>
        <w:jc w:val="both"/>
        <w:rPr/>
      </w:pPr>
      <w:r>
        <w:rPr>
          <w:rStyle w:val="Style15"/>
        </w:rPr>
        <w:footnoteRef/>
      </w:r>
      <w:r>
        <w:rPr/>
        <w:t xml:space="preserve"> </w:t>
      </w:r>
      <w:r>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t>.</w:t>
      </w:r>
    </w:p>
  </w:footnote>
  <w:footnote w:id="4">
    <w:p>
      <w:pPr>
        <w:pStyle w:val="FootnoteText"/>
        <w:jc w:val="both"/>
        <w:rPr/>
      </w:pPr>
      <w:r>
        <w:rPr>
          <w:rStyle w:val="Style15"/>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425"/>
        </w:tabs>
        <w:ind w:left="1425" w:hanging="432"/>
      </w:pPr>
      <w:rPr>
        <w:sz w:val="24"/>
        <w:b w:val="false"/>
        <w:szCs w:val="24"/>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10"/>
  <w:revisionView w:insDel="0" w:formatting="0"/>
  <w:trackRevision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enforcement="1"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86f70"/>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link w:val="1"/>
    <w:qFormat/>
    <w:rsid w:val="00886f70"/>
    <w:pPr>
      <w:keepNext w:val="true"/>
      <w:spacing w:before="240" w:after="60"/>
      <w:outlineLvl w:val="0"/>
    </w:pPr>
    <w:rPr>
      <w:rFonts w:ascii="Arial" w:hAnsi="Arial" w:cs="Arial"/>
      <w:b/>
      <w:bCs/>
      <w:kern w:val="2"/>
      <w:sz w:val="32"/>
      <w:szCs w:val="32"/>
    </w:rPr>
  </w:style>
  <w:style w:type="paragraph" w:styleId="Heading2">
    <w:name w:val="Heading 2"/>
    <w:basedOn w:val="Normal"/>
    <w:next w:val="Normal"/>
    <w:link w:val="22"/>
    <w:uiPriority w:val="9"/>
    <w:semiHidden/>
    <w:unhideWhenUsed/>
    <w:qFormat/>
    <w:rsid w:val="00370cfe"/>
    <w:pPr>
      <w:keepNext w:val="true"/>
      <w:keepLines/>
      <w:spacing w:before="40" w:after="0"/>
      <w:outlineLvl w:val="1"/>
    </w:pPr>
    <w:rPr>
      <w:rFonts w:ascii="Calibri Light" w:hAnsi="Calibri Light" w:eastAsia="" w:cs="" w:asciiTheme="majorHAnsi" w:cstheme="majorBidi" w:eastAsiaTheme="majorEastAsia" w:hAnsiTheme="majorHAnsi"/>
      <w:color w:val="2E74B5" w:themeColor="accent1" w:themeShade="bf"/>
      <w:sz w:val="26"/>
      <w:szCs w:val="26"/>
    </w:rPr>
  </w:style>
  <w:style w:type="paragraph" w:styleId="Heading3">
    <w:name w:val="Heading 3"/>
    <w:basedOn w:val="Normal"/>
    <w:next w:val="Normal"/>
    <w:link w:val="3"/>
    <w:qFormat/>
    <w:rsid w:val="00886f70"/>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86f70"/>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886f70"/>
    <w:rPr>
      <w:rFonts w:ascii="Cambria" w:hAnsi="Cambria" w:eastAsia="Times New Roman" w:cs="Times New Roman"/>
      <w:b/>
      <w:bCs/>
      <w:color w:val="4F81BD"/>
      <w:sz w:val="20"/>
      <w:szCs w:val="20"/>
      <w:lang w:val="x-none" w:eastAsia="x-none"/>
    </w:rPr>
  </w:style>
  <w:style w:type="character" w:styleId="Style6" w:customStyle="1">
    <w:name w:val="Заголовок Знак"/>
    <w:basedOn w:val="DefaultParagraphFont"/>
    <w:qFormat/>
    <w:rsid w:val="00886f70"/>
    <w:rPr>
      <w:rFonts w:ascii="Times New Roman" w:hAnsi="Times New Roman" w:eastAsia="Times New Roman" w:cs="Times New Roman"/>
      <w:b/>
      <w:bCs/>
      <w:sz w:val="24"/>
      <w:szCs w:val="24"/>
      <w:lang w:eastAsia="ru-RU"/>
    </w:rPr>
  </w:style>
  <w:style w:type="character" w:styleId="2" w:customStyle="1">
    <w:name w:val="Основной текст с отступом 2 Знак"/>
    <w:basedOn w:val="DefaultParagraphFont"/>
    <w:link w:val="BodyTextIndent2"/>
    <w:qFormat/>
    <w:rsid w:val="00886f70"/>
    <w:rPr>
      <w:rFonts w:ascii="Times New Roman" w:hAnsi="Times New Roman" w:eastAsia="Times New Roman" w:cs="Times New Roman"/>
      <w:sz w:val="24"/>
      <w:szCs w:val="20"/>
      <w:lang w:eastAsia="ru-RU"/>
    </w:rPr>
  </w:style>
  <w:style w:type="character" w:styleId="Style7" w:customStyle="1">
    <w:name w:val="Текст выноски Знак"/>
    <w:basedOn w:val="DefaultParagraphFont"/>
    <w:link w:val="BalloonText"/>
    <w:semiHidden/>
    <w:qFormat/>
    <w:rsid w:val="00886f70"/>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886f70"/>
    <w:rPr>
      <w:rFonts w:ascii="Times New Roman" w:hAnsi="Times New Roman" w:eastAsia="Times New Roman" w:cs="Times New Roman"/>
      <w:sz w:val="24"/>
      <w:szCs w:val="24"/>
      <w:lang w:eastAsia="ru-RU"/>
    </w:rPr>
  </w:style>
  <w:style w:type="character" w:styleId="Style8" w:customStyle="1">
    <w:name w:val="Основной текст Знак"/>
    <w:basedOn w:val="DefaultParagraphFont"/>
    <w:qFormat/>
    <w:rsid w:val="00886f70"/>
    <w:rPr>
      <w:rFonts w:ascii="Times New Roman" w:hAnsi="Times New Roman" w:eastAsia="Times New Roman" w:cs="Times New Roman"/>
      <w:sz w:val="20"/>
      <w:szCs w:val="20"/>
      <w:lang w:eastAsia="ru-RU"/>
    </w:rPr>
  </w:style>
  <w:style w:type="character" w:styleId="Style9" w:customStyle="1">
    <w:name w:val="Нижний колонтитул Знак"/>
    <w:basedOn w:val="DefaultParagraphFont"/>
    <w:uiPriority w:val="99"/>
    <w:qFormat/>
    <w:rsid w:val="00886f70"/>
    <w:rPr>
      <w:rFonts w:ascii="Times New Roman" w:hAnsi="Times New Roman" w:eastAsia="Times New Roman" w:cs="Times New Roman"/>
      <w:sz w:val="20"/>
      <w:szCs w:val="20"/>
      <w:lang w:eastAsia="ru-RU"/>
    </w:rPr>
  </w:style>
  <w:style w:type="character" w:styleId="Pagenumber">
    <w:name w:val="page number"/>
    <w:basedOn w:val="DefaultParagraphFont"/>
    <w:qFormat/>
    <w:rsid w:val="00886f70"/>
    <w:rPr/>
  </w:style>
  <w:style w:type="character" w:styleId="31" w:customStyle="1">
    <w:name w:val="Основной текст 3 Знак"/>
    <w:basedOn w:val="DefaultParagraphFont"/>
    <w:link w:val="BodyText3"/>
    <w:qFormat/>
    <w:rsid w:val="00886f70"/>
    <w:rPr>
      <w:rFonts w:ascii="Times New Roman" w:hAnsi="Times New Roman" w:eastAsia="Times New Roman" w:cs="Times New Roman"/>
      <w:sz w:val="16"/>
      <w:szCs w:val="16"/>
      <w:lang w:val="x-none" w:eastAsia="x-none"/>
    </w:rPr>
  </w:style>
  <w:style w:type="character" w:styleId="Annotationreference">
    <w:name w:val="annotation reference"/>
    <w:qFormat/>
    <w:rsid w:val="00886f70"/>
    <w:rPr>
      <w:sz w:val="16"/>
      <w:szCs w:val="16"/>
    </w:rPr>
  </w:style>
  <w:style w:type="character" w:styleId="Style10" w:customStyle="1">
    <w:name w:val="Текст примечания Знак"/>
    <w:basedOn w:val="DefaultParagraphFont"/>
    <w:link w:val="Annotationtext"/>
    <w:qFormat/>
    <w:rsid w:val="00886f70"/>
    <w:rPr>
      <w:rFonts w:ascii="Times New Roman" w:hAnsi="Times New Roman" w:eastAsia="Times New Roman" w:cs="Times New Roman"/>
      <w:sz w:val="20"/>
      <w:szCs w:val="20"/>
      <w:lang w:eastAsia="ru-RU"/>
    </w:rPr>
  </w:style>
  <w:style w:type="character" w:styleId="Style11" w:customStyle="1">
    <w:name w:val="Тема примечания Знак"/>
    <w:basedOn w:val="Style10"/>
    <w:link w:val="Annotationsubject"/>
    <w:qFormat/>
    <w:rsid w:val="00886f70"/>
    <w:rPr>
      <w:rFonts w:ascii="Times New Roman" w:hAnsi="Times New Roman" w:eastAsia="Times New Roman" w:cs="Times New Roman"/>
      <w:b/>
      <w:bCs/>
      <w:sz w:val="20"/>
      <w:szCs w:val="20"/>
      <w:lang w:val="x-none" w:eastAsia="x-none"/>
    </w:rPr>
  </w:style>
  <w:style w:type="character" w:styleId="Style12" w:customStyle="1">
    <w:name w:val="Основной текст с отступом Знак"/>
    <w:basedOn w:val="DefaultParagraphFont"/>
    <w:qFormat/>
    <w:rsid w:val="00886f70"/>
    <w:rPr>
      <w:rFonts w:ascii="Times New Roman" w:hAnsi="Times New Roman" w:eastAsia="Times New Roman" w:cs="Times New Roman"/>
      <w:sz w:val="20"/>
      <w:szCs w:val="20"/>
      <w:lang w:eastAsia="ru-RU"/>
    </w:rPr>
  </w:style>
  <w:style w:type="character" w:styleId="Style13" w:customStyle="1">
    <w:name w:val="комментарий"/>
    <w:uiPriority w:val="99"/>
    <w:qFormat/>
    <w:rsid w:val="00886f70"/>
    <w:rPr>
      <w:rFonts w:cs="Times New Roman"/>
      <w:b/>
      <w:bCs/>
      <w:i/>
      <w:iCs/>
      <w:shd w:fill="FFFF99" w:val="clear"/>
    </w:rPr>
  </w:style>
  <w:style w:type="character" w:styleId="Style14" w:customStyle="1">
    <w:name w:val="Текст сноски Знак"/>
    <w:basedOn w:val="DefaultParagraphFont"/>
    <w:uiPriority w:val="99"/>
    <w:qFormat/>
    <w:rsid w:val="00886f70"/>
    <w:rPr>
      <w:rFonts w:ascii="Times New Roman" w:hAnsi="Times New Roman" w:eastAsia="Times New Roman" w:cs="Times New Roman"/>
      <w:sz w:val="20"/>
      <w:szCs w:val="20"/>
      <w:lang w:eastAsia="ru-RU"/>
    </w:rPr>
  </w:style>
  <w:style w:type="character" w:styleId="Style15" w:customStyle="1">
    <w:name w:val="Символ сноски"/>
    <w:uiPriority w:val="99"/>
    <w:qFormat/>
    <w:rsid w:val="00886f70"/>
    <w:rPr>
      <w:vertAlign w:val="superscript"/>
    </w:rPr>
  </w:style>
  <w:style w:type="character" w:styleId="FootnoteReference">
    <w:name w:val="Footnote Reference"/>
    <w:rPr>
      <w:vertAlign w:val="superscript"/>
    </w:rPr>
  </w:style>
  <w:style w:type="character" w:styleId="Style16" w:customStyle="1">
    <w:name w:val="Схема документа Знак"/>
    <w:basedOn w:val="DefaultParagraphFont"/>
    <w:link w:val="DocumentMap"/>
    <w:semiHidden/>
    <w:qFormat/>
    <w:rsid w:val="00886f70"/>
    <w:rPr>
      <w:rFonts w:ascii="Tahoma" w:hAnsi="Tahoma" w:eastAsia="Times New Roman" w:cs="Tahoma"/>
      <w:sz w:val="20"/>
      <w:szCs w:val="20"/>
      <w:shd w:fill="000080" w:val="clear"/>
      <w:lang w:eastAsia="ru-RU"/>
    </w:rPr>
  </w:style>
  <w:style w:type="character" w:styleId="Style17" w:customStyle="1">
    <w:name w:val="Верхний колонтитул Знак"/>
    <w:basedOn w:val="DefaultParagraphFont"/>
    <w:qFormat/>
    <w:rsid w:val="00886f70"/>
    <w:rPr>
      <w:rFonts w:ascii="Times New Roman" w:hAnsi="Times New Roman" w:eastAsia="Times New Roman" w:cs="Times New Roman"/>
      <w:sz w:val="20"/>
      <w:szCs w:val="20"/>
      <w:lang w:eastAsia="ru-RU"/>
    </w:rPr>
  </w:style>
  <w:style w:type="character" w:styleId="Hyperlink">
    <w:name w:val="Hyperlink"/>
    <w:rsid w:val="00886f70"/>
    <w:rPr>
      <w:color w:val="0000FF"/>
      <w:u w:val="single"/>
    </w:rPr>
  </w:style>
  <w:style w:type="character" w:styleId="Style18" w:customStyle="1">
    <w:name w:val="Абзац списка Знак"/>
    <w:link w:val="ListParagraph"/>
    <w:uiPriority w:val="34"/>
    <w:qFormat/>
    <w:locked/>
    <w:rsid w:val="00b80bab"/>
    <w:rPr>
      <w:rFonts w:ascii="Times New Roman" w:hAnsi="Times New Roman" w:eastAsia="Times New Roman" w:cs="Times New Roman"/>
      <w:sz w:val="20"/>
      <w:szCs w:val="20"/>
      <w:lang w:eastAsia="ru-RU"/>
    </w:rPr>
  </w:style>
  <w:style w:type="character" w:styleId="32" w:customStyle="1">
    <w:name w:val="Основной текст с отступом 3 Знак"/>
    <w:basedOn w:val="DefaultParagraphFont"/>
    <w:link w:val="BodyTextIndent3"/>
    <w:uiPriority w:val="99"/>
    <w:semiHidden/>
    <w:qFormat/>
    <w:rsid w:val="00b209b6"/>
    <w:rPr>
      <w:rFonts w:ascii="Times New Roman" w:hAnsi="Times New Roman" w:eastAsia="Times New Roman" w:cs="Times New Roman"/>
      <w:sz w:val="16"/>
      <w:szCs w:val="16"/>
      <w:lang w:eastAsia="ru-RU"/>
    </w:rPr>
  </w:style>
  <w:style w:type="character" w:styleId="22" w:customStyle="1">
    <w:name w:val="Заголовок 2 Знак"/>
    <w:basedOn w:val="DefaultParagraphFont"/>
    <w:uiPriority w:val="9"/>
    <w:semiHidden/>
    <w:qFormat/>
    <w:rsid w:val="00370cfe"/>
    <w:rPr>
      <w:rFonts w:ascii="Calibri Light" w:hAnsi="Calibri Light" w:eastAsia="" w:cs="" w:asciiTheme="majorHAnsi" w:cstheme="majorBidi" w:eastAsiaTheme="majorEastAsia" w:hAnsiTheme="majorHAnsi"/>
      <w:color w:val="2E74B5" w:themeColor="accent1" w:themeShade="bf"/>
      <w:sz w:val="26"/>
      <w:szCs w:val="26"/>
      <w:lang w:eastAsia="ru-RU"/>
    </w:rPr>
  </w:style>
  <w:style w:type="character" w:styleId="Style19"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1" w:customStyle="1">
    <w:name w:val="line number1"/>
    <w:qFormat/>
    <w:rPr/>
  </w:style>
  <w:style w:type="character" w:styleId="Linenumber">
    <w:name w:val="line number"/>
    <w:qFormat/>
    <w:rPr/>
  </w:style>
  <w:style w:type="paragraph" w:styleId="Style20">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886f70"/>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1">
    <w:name w:val="Указатель"/>
    <w:basedOn w:val="Normal"/>
    <w:qFormat/>
    <w:pPr>
      <w:suppressLineNumbers/>
    </w:pPr>
    <w:rPr/>
  </w:style>
  <w:style w:type="paragraph" w:styleId="Title">
    <w:name w:val="Title"/>
    <w:basedOn w:val="Normal"/>
    <w:next w:val="BodyText"/>
    <w:link w:val="Style6"/>
    <w:qFormat/>
    <w:rsid w:val="00886f70"/>
    <w:pPr>
      <w:jc w:val="center"/>
    </w:pPr>
    <w:rPr>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Caption111" w:customStyle="1">
    <w:name w:val="caption111"/>
    <w:basedOn w:val="Normal"/>
    <w:qFormat/>
    <w:pPr>
      <w:suppressLineNumbers/>
      <w:spacing w:before="120" w:after="120"/>
    </w:pPr>
    <w:rPr>
      <w:i/>
      <w:iCs/>
      <w:sz w:val="24"/>
      <w:szCs w:val="24"/>
    </w:rPr>
  </w:style>
  <w:style w:type="paragraph" w:styleId="Caption1111" w:customStyle="1">
    <w:name w:val="caption1111"/>
    <w:basedOn w:val="Normal"/>
    <w:qFormat/>
    <w:pPr>
      <w:suppressLineNumbers/>
      <w:spacing w:before="120" w:after="120"/>
    </w:pPr>
    <w:rPr>
      <w:i/>
      <w:iCs/>
      <w:sz w:val="24"/>
      <w:szCs w:val="24"/>
    </w:rPr>
  </w:style>
  <w:style w:type="paragraph" w:styleId="Style22" w:customStyle="1">
    <w:name w:val="Таблицы (моноширинный)"/>
    <w:basedOn w:val="Normal"/>
    <w:next w:val="Normal"/>
    <w:qFormat/>
    <w:rsid w:val="00886f70"/>
    <w:pPr>
      <w:jc w:val="both"/>
    </w:pPr>
    <w:rPr>
      <w:rFonts w:ascii="Courier New" w:hAnsi="Courier New" w:cs="Courier New"/>
    </w:rPr>
  </w:style>
  <w:style w:type="paragraph" w:styleId="BodyTextIndent2">
    <w:name w:val="Body Text Indent 2"/>
    <w:basedOn w:val="Normal"/>
    <w:link w:val="2"/>
    <w:qFormat/>
    <w:rsid w:val="00886f70"/>
    <w:pPr>
      <w:ind w:left="1843" w:hanging="0"/>
      <w:jc w:val="both"/>
    </w:pPr>
    <w:rPr>
      <w:sz w:val="24"/>
    </w:rPr>
  </w:style>
  <w:style w:type="paragraph" w:styleId="BalloonText">
    <w:name w:val="Balloon Text"/>
    <w:basedOn w:val="Normal"/>
    <w:link w:val="Style7"/>
    <w:semiHidden/>
    <w:qFormat/>
    <w:rsid w:val="00886f70"/>
    <w:pPr/>
    <w:rPr>
      <w:rFonts w:ascii="Tahoma" w:hAnsi="Tahoma" w:cs="Tahoma"/>
      <w:sz w:val="16"/>
      <w:szCs w:val="16"/>
    </w:rPr>
  </w:style>
  <w:style w:type="paragraph" w:styleId="BodyText2">
    <w:name w:val="Body Text 2"/>
    <w:basedOn w:val="Normal"/>
    <w:link w:val="21"/>
    <w:qFormat/>
    <w:rsid w:val="00886f70"/>
    <w:pPr>
      <w:widowControl/>
      <w:spacing w:lineRule="auto" w:line="480" w:before="0" w:after="120"/>
    </w:pPr>
    <w:rPr>
      <w:sz w:val="24"/>
      <w:szCs w:val="24"/>
    </w:rPr>
  </w:style>
  <w:style w:type="paragraph" w:styleId="Style23" w:customStyle="1">
    <w:name w:val="Колонтитул"/>
    <w:basedOn w:val="Normal"/>
    <w:qFormat/>
    <w:pPr/>
    <w:rPr/>
  </w:style>
  <w:style w:type="paragraph" w:styleId="Footer">
    <w:name w:val="Footer"/>
    <w:basedOn w:val="Normal"/>
    <w:link w:val="Style9"/>
    <w:uiPriority w:val="99"/>
    <w:rsid w:val="00886f70"/>
    <w:pPr>
      <w:tabs>
        <w:tab w:val="clear" w:pos="708"/>
        <w:tab w:val="center" w:pos="4677" w:leader="none"/>
        <w:tab w:val="right" w:pos="9355" w:leader="none"/>
      </w:tabs>
    </w:pPr>
    <w:rPr/>
  </w:style>
  <w:style w:type="paragraph" w:styleId="BodyText3">
    <w:name w:val="Body Text 3"/>
    <w:basedOn w:val="Normal"/>
    <w:link w:val="31"/>
    <w:qFormat/>
    <w:rsid w:val="00886f70"/>
    <w:pPr>
      <w:spacing w:before="0" w:after="120"/>
    </w:pPr>
    <w:rPr>
      <w:sz w:val="16"/>
      <w:szCs w:val="16"/>
      <w:lang w:val="x-none" w:eastAsia="x-none"/>
    </w:rPr>
  </w:style>
  <w:style w:type="paragraph" w:styleId="Annotationtext">
    <w:name w:val="annotation text"/>
    <w:basedOn w:val="Normal"/>
    <w:link w:val="Style10"/>
    <w:qFormat/>
    <w:rsid w:val="00886f70"/>
    <w:pPr/>
    <w:rPr/>
  </w:style>
  <w:style w:type="paragraph" w:styleId="Annotationsubject">
    <w:name w:val="annotation subject"/>
    <w:basedOn w:val="Annotationtext"/>
    <w:next w:val="Annotationtext"/>
    <w:link w:val="Style11"/>
    <w:qFormat/>
    <w:rsid w:val="00886f70"/>
    <w:pPr/>
    <w:rPr>
      <w:b/>
      <w:bCs/>
      <w:lang w:val="x-none" w:eastAsia="x-none"/>
    </w:rPr>
  </w:style>
  <w:style w:type="paragraph" w:styleId="ListParagraph">
    <w:name w:val="List Paragraph"/>
    <w:basedOn w:val="Normal"/>
    <w:link w:val="Style18"/>
    <w:uiPriority w:val="34"/>
    <w:qFormat/>
    <w:rsid w:val="00886f70"/>
    <w:pPr>
      <w:spacing w:before="0" w:after="0"/>
      <w:ind w:left="720" w:hanging="0"/>
      <w:contextualSpacing/>
    </w:pPr>
    <w:rPr/>
  </w:style>
  <w:style w:type="paragraph" w:styleId="Style24" w:customStyle="1">
    <w:name w:val="Знак Знак Знак Знак Знак Знак Знак Знак Знак"/>
    <w:basedOn w:val="Normal"/>
    <w:uiPriority w:val="99"/>
    <w:qFormat/>
    <w:rsid w:val="00886f70"/>
    <w:pPr>
      <w:widowControl/>
      <w:spacing w:lineRule="exact" w:line="240" w:before="0" w:after="160"/>
      <w:jc w:val="both"/>
    </w:pPr>
    <w:rPr>
      <w:rFonts w:ascii="Verdana" w:hAnsi="Verdana"/>
      <w:sz w:val="22"/>
      <w:lang w:val="en-US" w:eastAsia="en-US"/>
    </w:rPr>
  </w:style>
  <w:style w:type="paragraph" w:styleId="Style25" w:customStyle="1">
    <w:name w:val="Подпункт договора"/>
    <w:basedOn w:val="Normal"/>
    <w:qFormat/>
    <w:rsid w:val="00886f70"/>
    <w:pPr>
      <w:widowControl/>
      <w:tabs>
        <w:tab w:val="clear" w:pos="708"/>
        <w:tab w:val="left" w:pos="360" w:leader="none"/>
      </w:tabs>
      <w:jc w:val="both"/>
    </w:pPr>
    <w:rPr>
      <w:rFonts w:ascii="Arial" w:hAnsi="Arial"/>
    </w:rPr>
  </w:style>
  <w:style w:type="paragraph" w:styleId="ConsNormal" w:customStyle="1">
    <w:name w:val="ConsNormal"/>
    <w:qFormat/>
    <w:rsid w:val="00886f70"/>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2"/>
    <w:rsid w:val="00886f70"/>
    <w:pPr>
      <w:spacing w:before="0" w:after="120"/>
      <w:ind w:left="283" w:hanging="0"/>
    </w:pPr>
    <w:rPr/>
  </w:style>
  <w:style w:type="paragraph" w:styleId="Style26" w:customStyle="1">
    <w:name w:val="Знак"/>
    <w:basedOn w:val="Normal"/>
    <w:qFormat/>
    <w:rsid w:val="00886f70"/>
    <w:pPr>
      <w:widowControl/>
      <w:spacing w:lineRule="exact" w:line="240" w:before="0" w:after="160"/>
    </w:pPr>
    <w:rPr>
      <w:rFonts w:ascii="Verdana" w:hAnsi="Verdana" w:cs="Verdana"/>
      <w:lang w:val="en-US" w:eastAsia="en-US"/>
    </w:rPr>
  </w:style>
  <w:style w:type="paragraph" w:styleId="FootnoteText">
    <w:name w:val="Footnote Text"/>
    <w:basedOn w:val="Normal"/>
    <w:link w:val="Style14"/>
    <w:uiPriority w:val="99"/>
    <w:rsid w:val="00886f70"/>
    <w:pPr/>
    <w:rPr/>
  </w:style>
  <w:style w:type="paragraph" w:styleId="ListBullet3">
    <w:name w:val="List Bullet 3"/>
    <w:basedOn w:val="Normal"/>
    <w:uiPriority w:val="99"/>
    <w:unhideWhenUsed/>
    <w:qFormat/>
    <w:rsid w:val="00886f70"/>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886f70"/>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16"/>
    <w:semiHidden/>
    <w:qFormat/>
    <w:rsid w:val="00886f70"/>
    <w:pPr>
      <w:shd w:val="clear" w:color="auto" w:fill="000080"/>
    </w:pPr>
    <w:rPr>
      <w:rFonts w:ascii="Tahoma" w:hAnsi="Tahoma" w:cs="Tahoma"/>
    </w:rPr>
  </w:style>
  <w:style w:type="paragraph" w:styleId="Revision">
    <w:name w:val="Revision"/>
    <w:uiPriority w:val="99"/>
    <w:semiHidden/>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7"/>
    <w:rsid w:val="00886f70"/>
    <w:pPr>
      <w:tabs>
        <w:tab w:val="clear" w:pos="708"/>
        <w:tab w:val="center" w:pos="4677" w:leader="none"/>
        <w:tab w:val="right" w:pos="9355" w:leader="none"/>
      </w:tabs>
    </w:pPr>
    <w:rPr/>
  </w:style>
  <w:style w:type="paragraph" w:styleId="Style27" w:customStyle="1">
    <w:name w:val="Пункт договора"/>
    <w:basedOn w:val="Normal"/>
    <w:qFormat/>
    <w:rsid w:val="00886f70"/>
    <w:pPr>
      <w:jc w:val="both"/>
    </w:pPr>
    <w:rPr>
      <w:rFonts w:ascii="Arial" w:hAnsi="Arial"/>
    </w:rPr>
  </w:style>
  <w:style w:type="paragraph" w:styleId="11" w:customStyle="1">
    <w:name w:val="Знак Знак Знак Знак Знак Знак Знак Знак Знак1"/>
    <w:basedOn w:val="Normal"/>
    <w:qFormat/>
    <w:rsid w:val="00886f70"/>
    <w:pPr>
      <w:widowControl/>
      <w:spacing w:lineRule="exact" w:line="240" w:before="0" w:after="160"/>
      <w:jc w:val="both"/>
    </w:pPr>
    <w:rPr>
      <w:rFonts w:ascii="Verdana" w:hAnsi="Verdana"/>
      <w:sz w:val="22"/>
      <w:lang w:val="en-US" w:eastAsia="en-US"/>
    </w:rPr>
  </w:style>
  <w:style w:type="paragraph" w:styleId="12" w:customStyle="1">
    <w:name w:val="Обычный1"/>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886f70"/>
    <w:pPr>
      <w:widowControl w:val="false"/>
      <w:suppressAutoHyphens w:val="tru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BodyTextIndent3">
    <w:name w:val="Body Text Indent 3"/>
    <w:basedOn w:val="Normal"/>
    <w:link w:val="32"/>
    <w:uiPriority w:val="99"/>
    <w:semiHidden/>
    <w:unhideWhenUsed/>
    <w:qFormat/>
    <w:rsid w:val="00b209b6"/>
    <w:pPr>
      <w:spacing w:before="0" w:after="120"/>
      <w:ind w:left="360" w:hanging="0"/>
    </w:pPr>
    <w:rPr>
      <w:sz w:val="16"/>
      <w:szCs w:val="16"/>
    </w:rPr>
  </w:style>
  <w:style w:type="paragraph" w:styleId="Default" w:customStyle="1">
    <w:name w:val="Default"/>
    <w:qFormat/>
    <w:rsid w:val="00b201da"/>
    <w:pPr>
      <w:widowControl/>
      <w:suppressAutoHyphens w:val="true"/>
      <w:bidi w:val="0"/>
      <w:spacing w:before="0" w:after="0"/>
      <w:jc w:val="left"/>
    </w:pPr>
    <w:rPr>
      <w:rFonts w:ascii="Times New Roman" w:hAnsi="Times New Roman" w:eastAsia="Calibri" w:cs="Times New Roman"/>
      <w:color w:val="000000"/>
      <w:kern w:val="0"/>
      <w:sz w:val="24"/>
      <w:szCs w:val="24"/>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c">
    <w:name w:val="Table Grid"/>
    <w:basedOn w:val="a1"/>
    <w:rsid w:val="00886f70"/>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header" Target="header5.xml"/><Relationship Id="rId13" Type="http://schemas.openxmlformats.org/officeDocument/2006/relationships/header" Target="header6.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header" Target="header9.xml"/><Relationship Id="rId21" Type="http://schemas.openxmlformats.org/officeDocument/2006/relationships/header" Target="header10.xml"/><Relationship Id="rId22" Type="http://schemas.openxmlformats.org/officeDocument/2006/relationships/footer" Target="footer8.xml"/><Relationship Id="rId23" Type="http://schemas.openxmlformats.org/officeDocument/2006/relationships/footer" Target="footer9.xml"/><Relationship Id="rId24" Type="http://schemas.openxmlformats.org/officeDocument/2006/relationships/footnotes" Target="footnotes.xml"/><Relationship Id="rId25" Type="http://schemas.openxmlformats.org/officeDocument/2006/relationships/numbering" Target="numbering.xml"/><Relationship Id="rId26" Type="http://schemas.openxmlformats.org/officeDocument/2006/relationships/fontTable" Target="fontTable.xml"/><Relationship Id="rId27" Type="http://schemas.openxmlformats.org/officeDocument/2006/relationships/settings" Target="settings.xml"/><Relationship Id="rId28" Type="http://schemas.openxmlformats.org/officeDocument/2006/relationships/theme" Target="theme/theme1.xml"/><Relationship Id="rId29" Type="http://schemas.openxmlformats.org/officeDocument/2006/relationships/customXml" Target="../customXml/item1.xml"/><Relationship Id="rId30" Type="http://schemas.openxmlformats.org/officeDocument/2006/relationships/customXml" Target="../customXml/item2.xml"/><Relationship Id="rId31" Type="http://schemas.openxmlformats.org/officeDocument/2006/relationships/customXml" Target="../customXml/item3.xml"/><Relationship Id="rId32"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3.xml><?xml version="1.0" encoding="utf-8"?>
<ds:datastoreItem xmlns:ds="http://schemas.openxmlformats.org/officeDocument/2006/customXml" ds:itemID="{95CAEEA5-E2B6-4B76-A826-4F29FF9531A3}">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0753C19E-0DA2-477F-8CB3-7AB256B39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Application>AlterOffice/3.4.0.9$Linux_X86_64 LibreOffice_project/b8daf9e823b1a5463a2f48435ddc2e8696e7d4fc</Application>
  <AppVersion>15.0000</AppVersion>
  <Pages>21</Pages>
  <Words>6977</Words>
  <Characters>49234</Characters>
  <CharactersWithSpaces>55658</CharactersWithSpaces>
  <Paragraphs>335</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2026-04-09T03:03:00Z</dcterms:created>
  <dc:creator>Быстрова Дарья Андреевна</dc:creator>
  <dc:description/>
  <dc:language>ru-RU</dc:language>
  <cp:lastModifiedBy>kipriianovaiv@corp.gidroogk.com</cp:lastModifiedBy>
  <dcterms:modified xsi:type="dcterms:W3CDTF">2026-07-30T10:24:39Z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